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0B88" w:rsidRPr="00D30B70" w:rsidRDefault="00090B88" w:rsidP="00090B88">
      <w:pPr>
        <w:spacing w:after="0"/>
        <w:rPr>
          <w:rFonts w:ascii="Arial" w:hAnsi="Arial"/>
          <w:b/>
          <w:noProof/>
          <w:sz w:val="24"/>
        </w:rPr>
      </w:pPr>
      <w:r w:rsidRPr="00791A7E">
        <w:rPr>
          <w:rFonts w:ascii="Arial" w:hAnsi="Arial"/>
          <w:b/>
          <w:noProof/>
          <w:sz w:val="24"/>
        </w:rPr>
        <w:t>3GPP TSG-RAN WG2 Meeting #99</w:t>
      </w:r>
      <w:r w:rsidRPr="00791A7E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  <w:t xml:space="preserve">        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D30B70">
        <w:rPr>
          <w:rFonts w:ascii="Arial" w:hAnsi="Arial"/>
          <w:b/>
          <w:noProof/>
          <w:sz w:val="24"/>
        </w:rPr>
        <w:tab/>
        <w:t>R2-17</w:t>
      </w:r>
      <w:r w:rsidR="00202C45" w:rsidRPr="00D30B70">
        <w:rPr>
          <w:rFonts w:ascii="Arial" w:hAnsi="Arial" w:cs="Arial"/>
          <w:b/>
          <w:bCs/>
          <w:sz w:val="26"/>
          <w:szCs w:val="26"/>
        </w:rPr>
        <w:t>08002</w:t>
      </w:r>
    </w:p>
    <w:p w:rsidR="00D33672" w:rsidRPr="00090B88" w:rsidRDefault="00090B88" w:rsidP="00090B88">
      <w:pPr>
        <w:spacing w:after="0"/>
        <w:rPr>
          <w:rFonts w:ascii="Arial" w:hAnsi="Arial"/>
          <w:b/>
          <w:noProof/>
          <w:sz w:val="24"/>
        </w:rPr>
      </w:pPr>
      <w:r w:rsidRPr="00791A7E">
        <w:rPr>
          <w:rFonts w:ascii="Arial" w:hAnsi="Arial"/>
          <w:b/>
          <w:noProof/>
          <w:sz w:val="24"/>
        </w:rPr>
        <w:t>Berlin, Germany, 21st – 25th August 2017</w:t>
      </w:r>
      <w:r>
        <w:rPr>
          <w:rFonts w:ascii="Arial" w:hAnsi="Arial"/>
          <w:b/>
          <w:noProof/>
          <w:sz w:val="24"/>
        </w:rPr>
        <w:t xml:space="preserve">    </w:t>
      </w:r>
      <w:r w:rsidR="00AD39B8">
        <w:rPr>
          <w:rFonts w:ascii="Arial" w:hAnsi="Arial"/>
          <w:b/>
          <w:noProof/>
          <w:sz w:val="24"/>
        </w:rPr>
        <w:t xml:space="preserve">                           </w:t>
      </w:r>
      <w:bookmarkStart w:id="0" w:name="_GoBack"/>
      <w:bookmarkEnd w:id="0"/>
      <w:r w:rsidR="00D33672" w:rsidRPr="00D33672">
        <w:rPr>
          <w:i/>
          <w:noProof/>
        </w:rPr>
        <w:t>(</w:t>
      </w:r>
      <w:r w:rsidR="00AD39B8">
        <w:rPr>
          <w:i/>
          <w:noProof/>
        </w:rPr>
        <w:t>Resubmission</w:t>
      </w:r>
      <w:r w:rsidR="00D33672" w:rsidRPr="00D33672">
        <w:rPr>
          <w:i/>
          <w:noProof/>
        </w:rPr>
        <w:t xml:space="preserve"> of R2-170</w:t>
      </w:r>
      <w:r>
        <w:rPr>
          <w:i/>
          <w:noProof/>
        </w:rPr>
        <w:t>6436</w:t>
      </w:r>
      <w:r w:rsidR="00D33672" w:rsidRPr="00D33672">
        <w:rPr>
          <w:i/>
          <w:noProof/>
        </w:rPr>
        <w:t>)</w:t>
      </w:r>
    </w:p>
    <w:p w:rsidR="008D5D73" w:rsidRDefault="008D5D73" w:rsidP="008D5D73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</w:r>
      <w:r>
        <w:rPr>
          <w:b/>
          <w:noProof/>
          <w:sz w:val="24"/>
          <w:lang w:eastAsia="ja-JP"/>
        </w:rPr>
        <w:tab/>
        <w:t xml:space="preserve">   </w:t>
      </w:r>
    </w:p>
    <w:p w:rsidR="008D5D7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090B88">
        <w:rPr>
          <w:b/>
          <w:noProof/>
          <w:sz w:val="24"/>
        </w:rPr>
        <w:t>x.x.x.x</w:t>
      </w:r>
    </w:p>
    <w:p w:rsidR="008D5D73" w:rsidRPr="009A6513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:rsidR="008D5D73" w:rsidRPr="00C93A3C" w:rsidRDefault="008D5D73" w:rsidP="008D5D73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1829EF">
        <w:rPr>
          <w:b/>
          <w:noProof/>
          <w:sz w:val="24"/>
        </w:rPr>
        <w:t>Mobility Enhancement for ‘0ms Interruption’</w:t>
      </w:r>
      <w:r w:rsidR="000B6AA3">
        <w:rPr>
          <w:b/>
          <w:noProof/>
          <w:sz w:val="24"/>
        </w:rPr>
        <w:t xml:space="preserve"> HO</w:t>
      </w:r>
    </w:p>
    <w:bookmarkEnd w:id="1"/>
    <w:bookmarkEnd w:id="2"/>
    <w:p w:rsidR="008D5D73" w:rsidRPr="00E15E7F" w:rsidRDefault="008D5D73" w:rsidP="008D5D7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:rsidR="008D5D73" w:rsidRDefault="008D5D73" w:rsidP="008D5D7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:rsidR="008D5D73" w:rsidRPr="00D25168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In</w:t>
      </w:r>
      <w:r w:rsidR="008D5D73" w:rsidRPr="005827DF">
        <w:rPr>
          <w:rFonts w:ascii="Arial" w:hAnsi="Arial"/>
        </w:rPr>
        <w:t xml:space="preserve"> </w:t>
      </w:r>
      <w:r w:rsidR="008D5D73">
        <w:rPr>
          <w:rFonts w:ascii="Arial" w:hAnsi="Arial"/>
        </w:rPr>
        <w:t>RAN2#96 meeting, h</w:t>
      </w:r>
      <w:r w:rsidR="008D5D73" w:rsidRPr="00D25168">
        <w:rPr>
          <w:rFonts w:ascii="Arial" w:hAnsi="Arial"/>
        </w:rPr>
        <w:t xml:space="preserve">ow to realize </w:t>
      </w:r>
      <w:r w:rsidR="008D5D73">
        <w:rPr>
          <w:rFonts w:ascii="Arial" w:hAnsi="Arial"/>
        </w:rPr>
        <w:t>‘0ms’</w:t>
      </w:r>
      <w:r w:rsidR="008D5D73" w:rsidRPr="00D25168">
        <w:rPr>
          <w:rFonts w:ascii="Arial" w:hAnsi="Arial"/>
        </w:rPr>
        <w:t xml:space="preserve"> UP interruption </w:t>
      </w:r>
      <w:r w:rsidR="009C580B">
        <w:rPr>
          <w:rFonts w:ascii="Arial" w:hAnsi="Arial"/>
        </w:rPr>
        <w:t xml:space="preserve">during HO </w:t>
      </w:r>
      <w:r w:rsidR="008D5D73" w:rsidRPr="00D25168">
        <w:rPr>
          <w:rFonts w:ascii="Arial" w:hAnsi="Arial"/>
        </w:rPr>
        <w:t>in NR</w:t>
      </w:r>
      <w:r w:rsidR="008D5D73">
        <w:rPr>
          <w:rFonts w:ascii="Arial" w:hAnsi="Arial"/>
        </w:rPr>
        <w:t xml:space="preserve"> was discussed</w:t>
      </w:r>
      <w:r w:rsidR="008D5D73" w:rsidRPr="00D25168">
        <w:rPr>
          <w:rFonts w:ascii="Arial" w:hAnsi="Arial"/>
        </w:rPr>
        <w:t>, and following agreements were made.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The mobility enhancement similar to that discussed for LTE (“Maintaining Source eNB connection during handover”) should be considered also for NR.</w:t>
      </w:r>
    </w:p>
    <w:p w:rsidR="008D5D73" w:rsidRDefault="008D5D73" w:rsidP="008D5D7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2</w:t>
      </w:r>
      <w:r>
        <w:tab/>
        <w:t>For DC (NR-NR), study how to reconfigure the UE from an MeNB to an SeNB to target the 0 ms UP interruption. FFS whether also applicable to LTE-NR</w:t>
      </w:r>
    </w:p>
    <w:p w:rsidR="001829EF" w:rsidRDefault="001829EF" w:rsidP="001829EF">
      <w:pPr>
        <w:spacing w:before="120" w:after="120"/>
        <w:rPr>
          <w:rFonts w:ascii="Arial" w:hAnsi="Arial"/>
        </w:rPr>
      </w:pPr>
      <w:r w:rsidRPr="001829EF">
        <w:rPr>
          <w:rFonts w:ascii="Arial" w:hAnsi="Arial"/>
        </w:rPr>
        <w:t xml:space="preserve">In RAN2 #97 meeting, SC HO enhancements for 0ms interruption </w:t>
      </w:r>
      <w:r>
        <w:rPr>
          <w:rFonts w:ascii="Arial" w:hAnsi="Arial"/>
        </w:rPr>
        <w:t>was discussed. RAN2 agreed that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1829EF" w:rsidRDefault="001829EF" w:rsidP="001829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We will aim to define HO for NR with an interruption as close to zero as possible while only having single Tx/Rx in the UE, and 0ms interruption at least for the case that the UE supports simultaneous Tx/Rx with source cell and target cell during HO</w:t>
      </w:r>
    </w:p>
    <w:p w:rsidR="001829EF" w:rsidRPr="001829EF" w:rsidRDefault="001829EF" w:rsidP="001829EF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In this contribution, </w:t>
      </w:r>
      <w:r w:rsidR="00DC7CF9">
        <w:rPr>
          <w:rFonts w:ascii="Arial" w:hAnsi="Arial"/>
        </w:rPr>
        <w:t>we compare the mobility enhancement mechanisms in both SC and DC HO, and propose a WF to ach</w:t>
      </w:r>
      <w:r w:rsidR="00D82826">
        <w:rPr>
          <w:rFonts w:ascii="Arial" w:hAnsi="Arial"/>
        </w:rPr>
        <w:t xml:space="preserve">ieve the ‘0ms’ interruption for both SC and DC HO. </w:t>
      </w:r>
    </w:p>
    <w:p w:rsidR="00364690" w:rsidRDefault="00DC7CF9" w:rsidP="00364690">
      <w:pPr>
        <w:pStyle w:val="Heading1"/>
        <w:rPr>
          <w:lang w:val="en-US" w:eastAsia="ko-KR"/>
        </w:rPr>
      </w:pPr>
      <w:r>
        <w:rPr>
          <w:lang w:val="en-US" w:eastAsia="ko-KR"/>
        </w:rPr>
        <w:t>2 Discussion</w:t>
      </w:r>
    </w:p>
    <w:p w:rsidR="00364690" w:rsidRPr="00364690" w:rsidRDefault="00364690" w:rsidP="00364690">
      <w:pPr>
        <w:pStyle w:val="Heading2"/>
        <w:spacing w:before="180" w:after="180"/>
        <w:ind w:left="1134" w:hanging="1134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2.1 UP </w:t>
      </w:r>
      <w:r w:rsidR="000A2B09" w:rsidRPr="00364690">
        <w:rPr>
          <w:rFonts w:ascii="Arial" w:eastAsia="Malgun Gothic" w:hAnsi="Arial" w:cs="Times New Roman"/>
          <w:color w:val="auto"/>
          <w:sz w:val="32"/>
          <w:szCs w:val="20"/>
        </w:rPr>
        <w:t>behaviour</w:t>
      </w:r>
      <w:r w:rsidRPr="00364690">
        <w:rPr>
          <w:rFonts w:ascii="Arial" w:eastAsia="Malgun Gothic" w:hAnsi="Arial" w:cs="Times New Roman"/>
          <w:color w:val="auto"/>
          <w:sz w:val="32"/>
          <w:szCs w:val="20"/>
        </w:rPr>
        <w:t xml:space="preserve"> during UE mobility</w:t>
      </w:r>
    </w:p>
    <w:p w:rsidR="00905DE0" w:rsidRPr="00905DE0" w:rsidRDefault="00905DE0" w:rsidP="00905DE0">
      <w:pPr>
        <w:spacing w:before="120" w:after="120"/>
        <w:rPr>
          <w:rFonts w:ascii="Arial" w:hAnsi="Arial"/>
        </w:rPr>
      </w:pPr>
      <w:r w:rsidRPr="00905DE0">
        <w:rPr>
          <w:rFonts w:ascii="Arial" w:hAnsi="Arial"/>
        </w:rPr>
        <w:t xml:space="preserve">In the following subsections, we discuss the L2 behaviour during UE mobility, just as illustrated in Figure 1, when UE moves from point A to point D.  The potential mobility enhancement for both SC and DC HO to achieve 0ms interruption </w:t>
      </w:r>
      <w:r w:rsidR="00E906B6">
        <w:rPr>
          <w:rFonts w:ascii="Arial" w:hAnsi="Arial"/>
        </w:rPr>
        <w:t>are considered</w:t>
      </w:r>
      <w:r w:rsidRPr="00905DE0">
        <w:rPr>
          <w:rFonts w:ascii="Arial" w:hAnsi="Arial"/>
        </w:rPr>
        <w:t xml:space="preserve">, assuming there is only one DRB available. So the data transmission continuation </w:t>
      </w:r>
      <w:r w:rsidR="009C580B">
        <w:rPr>
          <w:rFonts w:ascii="Arial" w:hAnsi="Arial"/>
        </w:rPr>
        <w:t>for</w:t>
      </w:r>
      <w:r w:rsidRPr="00905DE0">
        <w:rPr>
          <w:rFonts w:ascii="Arial" w:hAnsi="Arial"/>
        </w:rPr>
        <w:t xml:space="preserve"> the DRB should be guaranteed during HO. </w:t>
      </w:r>
    </w:p>
    <w:p w:rsidR="00E906B6" w:rsidRDefault="00364690" w:rsidP="00E906B6">
      <w:pPr>
        <w:jc w:val="center"/>
      </w:pPr>
      <w:r>
        <w:object w:dxaOrig="9031" w:dyaOrig="45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1pt;height:132.45pt" o:ole="">
            <v:imagedata r:id="rId7" o:title=""/>
          </v:shape>
          <o:OLEObject Type="Embed" ProgID="Visio.Drawing.15" ShapeID="_x0000_i1025" DrawAspect="Content" ObjectID="_1563978336" r:id="rId8"/>
        </w:object>
      </w:r>
    </w:p>
    <w:p w:rsidR="00905DE0" w:rsidRDefault="00905DE0" w:rsidP="00E906B6">
      <w:pPr>
        <w:jc w:val="center"/>
        <w:rPr>
          <w:b/>
        </w:rPr>
      </w:pPr>
      <w:r w:rsidRPr="00E906B6">
        <w:rPr>
          <w:b/>
        </w:rPr>
        <w:t xml:space="preserve">Figure 1 UE </w:t>
      </w:r>
      <w:r w:rsidR="00E906B6">
        <w:rPr>
          <w:b/>
        </w:rPr>
        <w:t>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7"/>
        <w:gridCol w:w="4019"/>
        <w:gridCol w:w="4014"/>
      </w:tblGrid>
      <w:tr w:rsidR="00315978" w:rsidTr="00315978">
        <w:tc>
          <w:tcPr>
            <w:tcW w:w="1255" w:type="dxa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lastRenderedPageBreak/>
              <w:t>UP behaviour</w:t>
            </w:r>
          </w:p>
        </w:tc>
        <w:tc>
          <w:tcPr>
            <w:tcW w:w="4050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1: </w:t>
            </w:r>
            <w:r w:rsidR="00315978" w:rsidRPr="00315978">
              <w:rPr>
                <w:rFonts w:ascii="Arial" w:hAnsi="Arial"/>
                <w:b/>
              </w:rPr>
              <w:t>Mobility Enhancement for ‘Make-before-break’</w:t>
            </w:r>
          </w:p>
        </w:tc>
        <w:tc>
          <w:tcPr>
            <w:tcW w:w="4045" w:type="dxa"/>
          </w:tcPr>
          <w:p w:rsidR="00315978" w:rsidRPr="00315978" w:rsidRDefault="008671D4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Option 2: </w:t>
            </w:r>
            <w:r w:rsidR="00315978" w:rsidRPr="00315978">
              <w:rPr>
                <w:rFonts w:ascii="Arial" w:hAnsi="Arial"/>
                <w:b/>
              </w:rPr>
              <w:t>Mobility Enhancement for ‘dual connectivity’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A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Normal</w:t>
            </w:r>
          </w:p>
        </w:tc>
        <w:tc>
          <w:tcPr>
            <w:tcW w:w="4050" w:type="dxa"/>
          </w:tcPr>
          <w:p w:rsidR="00315978" w:rsidRPr="00315978" w:rsidRDefault="00315978" w:rsidP="00364690">
            <w:pPr>
              <w:jc w:val="both"/>
              <w:rPr>
                <w:rFonts w:ascii="Arial" w:hAnsi="Arial"/>
                <w:b/>
              </w:rPr>
            </w:pPr>
            <w:r>
              <w:t>Connect to s</w:t>
            </w:r>
            <w:r w:rsidRPr="007B3192">
              <w:t>ource gNB and performs data transmission with source gNB</w:t>
            </w:r>
            <w:r w:rsidR="00364690">
              <w:t xml:space="preserve"> (through MCG bearer). </w:t>
            </w:r>
          </w:p>
        </w:tc>
        <w:tc>
          <w:tcPr>
            <w:tcW w:w="4045" w:type="dxa"/>
          </w:tcPr>
          <w:p w:rsidR="00315978" w:rsidRPr="00315978" w:rsidRDefault="00315978" w:rsidP="00315978">
            <w:pPr>
              <w:jc w:val="both"/>
            </w:pPr>
            <w:r>
              <w:t>Connect to s</w:t>
            </w:r>
            <w:r w:rsidRPr="00315978">
              <w:t xml:space="preserve">ource gNB and performs data transmission with </w:t>
            </w:r>
            <w:r>
              <w:t>s</w:t>
            </w:r>
            <w:r w:rsidRPr="00315978">
              <w:t>ource gNB through MCG bearer.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B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preparation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continues data transmission with source gNB with one protocol stack. UE establish another protocol stack preparing data transmission with target gNB.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A37C22">
            <w:pPr>
              <w:rPr>
                <w:rFonts w:ascii="Arial" w:hAnsi="Arial"/>
                <w:b/>
              </w:rPr>
            </w:pPr>
            <w:r w:rsidRPr="00315978">
              <w:t xml:space="preserve">MCG bearer to split bearer change is performed. UE establishes RLC and MAC for the split bearer. </w:t>
            </w:r>
          </w:p>
        </w:tc>
      </w:tr>
      <w:tr w:rsidR="00315978" w:rsidTr="00364690">
        <w:tc>
          <w:tcPr>
            <w:tcW w:w="1255" w:type="dxa"/>
            <w:shd w:val="clear" w:color="auto" w:fill="D0CECE" w:themeFill="background2" w:themeFillShade="E6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C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Execution</w:t>
            </w:r>
          </w:p>
        </w:tc>
        <w:tc>
          <w:tcPr>
            <w:tcW w:w="4050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 xml:space="preserve">UE performs data transmission with target gNB. Data transmission with source gNB </w:t>
            </w:r>
            <w:r>
              <w:t>is</w:t>
            </w:r>
            <w:r w:rsidRPr="007B3192">
              <w:t xml:space="preserve"> continued simultaneously.</w:t>
            </w:r>
          </w:p>
        </w:tc>
        <w:tc>
          <w:tcPr>
            <w:tcW w:w="4045" w:type="dxa"/>
            <w:shd w:val="clear" w:color="auto" w:fill="D0CECE" w:themeFill="background2" w:themeFillShade="E6"/>
          </w:tcPr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7B3192">
              <w:t>UE performs data transmission with</w:t>
            </w:r>
            <w:r>
              <w:t xml:space="preserve"> both source gNB and</w:t>
            </w:r>
            <w:r w:rsidRPr="007B3192">
              <w:t xml:space="preserve"> target gNB</w:t>
            </w:r>
            <w:r>
              <w:t xml:space="preserve"> simultaneously with split bearer</w:t>
            </w:r>
            <w:r w:rsidRPr="007B3192">
              <w:t>.</w:t>
            </w:r>
          </w:p>
        </w:tc>
      </w:tr>
      <w:tr w:rsidR="00315978" w:rsidTr="00315978">
        <w:tc>
          <w:tcPr>
            <w:tcW w:w="1255" w:type="dxa"/>
          </w:tcPr>
          <w:p w:rsidR="00315978" w:rsidRDefault="00315978" w:rsidP="00315978">
            <w:pPr>
              <w:jc w:val="both"/>
              <w:rPr>
                <w:rFonts w:ascii="Arial" w:hAnsi="Arial"/>
                <w:b/>
              </w:rPr>
            </w:pPr>
            <w:r w:rsidRPr="00315978">
              <w:rPr>
                <w:rFonts w:ascii="Arial" w:hAnsi="Arial"/>
                <w:b/>
              </w:rPr>
              <w:t>Position D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HO Completion</w:t>
            </w:r>
          </w:p>
        </w:tc>
        <w:tc>
          <w:tcPr>
            <w:tcW w:w="4050" w:type="dxa"/>
          </w:tcPr>
          <w:p w:rsidR="00315978" w:rsidRPr="00315978" w:rsidRDefault="00315978" w:rsidP="00315978">
            <w:r w:rsidRPr="00315978">
              <w:rPr>
                <w:rFonts w:hint="eastAsia"/>
              </w:rPr>
              <w:t xml:space="preserve">UE continues data transmission with target gNB. </w:t>
            </w:r>
            <w:r w:rsidRPr="00315978">
              <w:t>Connection with source gNB is released.</w:t>
            </w:r>
          </w:p>
          <w:p w:rsidR="00315978" w:rsidRPr="00315978" w:rsidRDefault="00315978" w:rsidP="00315978">
            <w:pPr>
              <w:jc w:val="both"/>
              <w:rPr>
                <w:rFonts w:ascii="Arial" w:hAnsi="Arial"/>
                <w:b/>
              </w:rPr>
            </w:pPr>
          </w:p>
        </w:tc>
        <w:tc>
          <w:tcPr>
            <w:tcW w:w="4045" w:type="dxa"/>
          </w:tcPr>
          <w:p w:rsidR="00315978" w:rsidRPr="00315978" w:rsidRDefault="00315978" w:rsidP="00A37C22">
            <w:pPr>
              <w:jc w:val="both"/>
              <w:rPr>
                <w:rFonts w:ascii="Arial" w:hAnsi="Arial"/>
                <w:b/>
              </w:rPr>
            </w:pPr>
            <w:r w:rsidRPr="00F77BE2">
              <w:t>Split bearer to MCG bearer change is performed. Then connection with source gNB is released.</w:t>
            </w:r>
          </w:p>
        </w:tc>
      </w:tr>
    </w:tbl>
    <w:p w:rsidR="00E906B6" w:rsidRDefault="00E906B6" w:rsidP="005719FD">
      <w:pPr>
        <w:spacing w:before="120" w:after="120"/>
        <w:rPr>
          <w:rFonts w:ascii="Arial" w:hAnsi="Arial"/>
        </w:rPr>
      </w:pPr>
      <w:r w:rsidRPr="005719FD">
        <w:rPr>
          <w:rFonts w:ascii="Arial" w:hAnsi="Arial"/>
        </w:rPr>
        <w:t>The UP protocol behaviour during HO</w:t>
      </w:r>
      <w:r w:rsidR="00364690">
        <w:rPr>
          <w:rFonts w:ascii="Arial" w:hAnsi="Arial"/>
        </w:rPr>
        <w:t xml:space="preserve"> for both mobility enhancement for ‘make-before-break’ and ‘DC’</w:t>
      </w:r>
      <w:r w:rsidRPr="005719FD">
        <w:rPr>
          <w:rFonts w:ascii="Arial" w:hAnsi="Arial"/>
        </w:rPr>
        <w:t xml:space="preserve"> is illustrated in Figure 2</w:t>
      </w:r>
      <w:r w:rsidR="00364690">
        <w:rPr>
          <w:rFonts w:ascii="Arial" w:hAnsi="Arial"/>
        </w:rPr>
        <w:t xml:space="preserve"> and Figure 3 respectively. </w:t>
      </w:r>
      <w:r w:rsidR="00017CF1">
        <w:rPr>
          <w:rFonts w:ascii="Arial" w:hAnsi="Arial"/>
        </w:rPr>
        <w:t xml:space="preserve"> </w:t>
      </w:r>
    </w:p>
    <w:p w:rsidR="00A37C22" w:rsidRPr="00364690" w:rsidRDefault="00A37C22" w:rsidP="00A37C22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A37C22" w:rsidRPr="00364690" w:rsidRDefault="00A37C22" w:rsidP="00A37C22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A37C22" w:rsidRPr="00364690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A37C22" w:rsidRDefault="00A37C22" w:rsidP="00A37C22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A37C22" w:rsidRDefault="00A37C22" w:rsidP="00A37C22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E906B6" w:rsidRDefault="00FA1EB9" w:rsidP="00E906B6">
      <w:r>
        <w:object w:dxaOrig="2355" w:dyaOrig="8520">
          <v:shape id="_x0000_i1026" type="#_x0000_t75" style="width:1in;height:258.8pt" o:ole="">
            <v:imagedata r:id="rId9" o:title=""/>
          </v:shape>
          <o:OLEObject Type="Embed" ProgID="Visio.Drawing.15" ShapeID="_x0000_i1026" DrawAspect="Content" ObjectID="_1563978337" r:id="rId10"/>
        </w:object>
      </w:r>
      <w:r>
        <w:object w:dxaOrig="5160" w:dyaOrig="8700">
          <v:shape id="_x0000_i1027" type="#_x0000_t75" style="width:158.25pt;height:258.1pt" o:ole="">
            <v:imagedata r:id="rId11" o:title=""/>
          </v:shape>
          <o:OLEObject Type="Embed" ProgID="Visio.Drawing.15" ShapeID="_x0000_i1027" DrawAspect="Content" ObjectID="_1563978338" r:id="rId12"/>
        </w:object>
      </w:r>
      <w:r w:rsidR="00364690">
        <w:object w:dxaOrig="5160" w:dyaOrig="9240">
          <v:shape id="_x0000_i1028" type="#_x0000_t75" style="width:155.55pt;height:264.9pt" o:ole="">
            <v:imagedata r:id="rId13" o:title="" croptop="3082f"/>
          </v:shape>
          <o:OLEObject Type="Embed" ProgID="Visio.Drawing.15" ShapeID="_x0000_i1028" DrawAspect="Content" ObjectID="_1563978339" r:id="rId14"/>
        </w:object>
      </w:r>
      <w:r w:rsidR="00E906B6" w:rsidRPr="00FC6B9F">
        <w:t xml:space="preserve"> </w:t>
      </w:r>
      <w:r w:rsidR="00E906B6">
        <w:t xml:space="preserve">  </w:t>
      </w:r>
      <w:r>
        <w:object w:dxaOrig="2355" w:dyaOrig="7980">
          <v:shape id="_x0000_i1029" type="#_x0000_t75" style="width:73.35pt;height:260.85pt" o:ole="">
            <v:imagedata r:id="rId15" o:title=""/>
          </v:shape>
          <o:OLEObject Type="Embed" ProgID="Visio.Drawing.15" ShapeID="_x0000_i1029" DrawAspect="Content" ObjectID="_1563978340" r:id="rId16"/>
        </w:object>
      </w:r>
      <w:r w:rsidR="00E906B6">
        <w:t xml:space="preserve">  </w:t>
      </w:r>
    </w:p>
    <w:p w:rsidR="00E906B6" w:rsidRDefault="00E906B6" w:rsidP="00E906B6">
      <w:r>
        <w:t xml:space="preserve">           A                       </w:t>
      </w:r>
      <w:r w:rsidR="00FA1EB9">
        <w:t xml:space="preserve">                  </w:t>
      </w:r>
      <w:r>
        <w:t xml:space="preserve">      B                                    </w:t>
      </w:r>
      <w:r w:rsidR="00FA1EB9">
        <w:t xml:space="preserve">            </w:t>
      </w:r>
      <w:r>
        <w:t xml:space="preserve">         C</w:t>
      </w:r>
      <w:r w:rsidR="00FA1EB9">
        <w:t xml:space="preserve">                </w:t>
      </w:r>
      <w:r>
        <w:t xml:space="preserve">        </w:t>
      </w:r>
      <w:r w:rsidR="00FA1EB9">
        <w:t xml:space="preserve">                  </w:t>
      </w:r>
      <w:r>
        <w:t xml:space="preserve">     D                    </w:t>
      </w:r>
    </w:p>
    <w:p w:rsidR="00E906B6" w:rsidRDefault="00E906B6" w:rsidP="00E906B6">
      <w:pPr>
        <w:jc w:val="center"/>
        <w:rPr>
          <w:b/>
        </w:rPr>
      </w:pPr>
      <w:r w:rsidRPr="00017CF1">
        <w:rPr>
          <w:b/>
        </w:rPr>
        <w:t xml:space="preserve">Figure </w:t>
      </w:r>
      <w:r w:rsidR="00FA1EB9">
        <w:rPr>
          <w:b/>
        </w:rPr>
        <w:t>2</w:t>
      </w:r>
      <w:r w:rsidRPr="00017CF1">
        <w:rPr>
          <w:b/>
        </w:rPr>
        <w:t xml:space="preserve"> UP Protocol during </w:t>
      </w:r>
      <w:r w:rsidR="00FA1EB9">
        <w:rPr>
          <w:b/>
        </w:rPr>
        <w:t>mobility enhancement for ‘make-before-break’</w:t>
      </w:r>
    </w:p>
    <w:p w:rsidR="00FA1EB9" w:rsidRDefault="00FA1EB9" w:rsidP="00FA1EB9">
      <w:r>
        <w:object w:dxaOrig="2355" w:dyaOrig="8520">
          <v:shape id="_x0000_i1030" type="#_x0000_t75" style="width:76.75pt;height:269pt" o:ole="">
            <v:imagedata r:id="rId9" o:title=""/>
          </v:shape>
          <o:OLEObject Type="Embed" ProgID="Visio.Drawing.15" ShapeID="_x0000_i1030" DrawAspect="Content" ObjectID="_1563978341" r:id="rId17"/>
        </w:object>
      </w:r>
      <w:r>
        <w:object w:dxaOrig="5160" w:dyaOrig="8700">
          <v:shape id="_x0000_i1031" type="#_x0000_t75" style="width:155.55pt;height:262.2pt" o:ole="">
            <v:imagedata r:id="rId18" o:title=""/>
          </v:shape>
          <o:OLEObject Type="Embed" ProgID="Visio.Drawing.15" ShapeID="_x0000_i1031" DrawAspect="Content" ObjectID="_1563978342" r:id="rId19"/>
        </w:object>
      </w:r>
      <w:r w:rsidRPr="00FA1EB9">
        <w:object w:dxaOrig="5175" w:dyaOrig="9270">
          <v:shape id="_x0000_i1032" type="#_x0000_t75" style="width:154.85pt;height:273.05pt" o:ole="">
            <v:imagedata r:id="rId20" o:title=""/>
          </v:shape>
          <o:OLEObject Type="Embed" ProgID="Visio.Drawing.15" ShapeID="_x0000_i1032" DrawAspect="Content" ObjectID="_1563978343" r:id="rId21"/>
        </w:object>
      </w:r>
      <w:r>
        <w:object w:dxaOrig="2355" w:dyaOrig="7980">
          <v:shape id="_x0000_i1033" type="#_x0000_t75" style="width:73.35pt;height:260.85pt" o:ole="">
            <v:imagedata r:id="rId15" o:title=""/>
          </v:shape>
          <o:OLEObject Type="Embed" ProgID="Visio.Drawing.15" ShapeID="_x0000_i1033" DrawAspect="Content" ObjectID="_1563978344" r:id="rId22"/>
        </w:object>
      </w:r>
    </w:p>
    <w:p w:rsidR="00FA1EB9" w:rsidRDefault="00FA1EB9" w:rsidP="00FA1EB9">
      <w:r>
        <w:t xml:space="preserve">           A                                               B                                                         C                                               D                    </w:t>
      </w:r>
    </w:p>
    <w:p w:rsidR="00FA1EB9" w:rsidRDefault="00FA1EB9" w:rsidP="00FA1EB9">
      <w:pPr>
        <w:jc w:val="center"/>
        <w:rPr>
          <w:b/>
        </w:rPr>
      </w:pPr>
      <w:r w:rsidRPr="00017CF1">
        <w:rPr>
          <w:b/>
        </w:rPr>
        <w:t xml:space="preserve">Figure </w:t>
      </w:r>
      <w:r w:rsidR="002B5FCF">
        <w:rPr>
          <w:b/>
        </w:rPr>
        <w:t>3</w:t>
      </w:r>
      <w:r w:rsidRPr="00017CF1">
        <w:rPr>
          <w:b/>
        </w:rPr>
        <w:t xml:space="preserve"> UP Protocol during </w:t>
      </w:r>
      <w:r>
        <w:rPr>
          <w:b/>
        </w:rPr>
        <w:t>mobility enhancement for ‘DC’</w:t>
      </w:r>
    </w:p>
    <w:p w:rsidR="00FA1EB9" w:rsidRDefault="00F113A0" w:rsidP="00F113A0">
      <w:pPr>
        <w:pStyle w:val="Heading2"/>
        <w:spacing w:before="180" w:after="180"/>
        <w:jc w:val="both"/>
        <w:rPr>
          <w:rFonts w:ascii="Arial" w:eastAsia="Malgun Gothic" w:hAnsi="Arial" w:cs="Times New Roman"/>
          <w:color w:val="auto"/>
          <w:sz w:val="32"/>
          <w:szCs w:val="20"/>
        </w:rPr>
      </w:pPr>
      <w:r>
        <w:rPr>
          <w:rFonts w:ascii="Arial" w:eastAsia="Malgun Gothic" w:hAnsi="Arial" w:cs="Times New Roman"/>
          <w:color w:val="auto"/>
          <w:sz w:val="32"/>
          <w:szCs w:val="20"/>
        </w:rPr>
        <w:lastRenderedPageBreak/>
        <w:t xml:space="preserve">2.2 </w:t>
      </w:r>
      <w:r w:rsidRPr="00F113A0">
        <w:rPr>
          <w:rFonts w:ascii="Arial" w:eastAsia="Malgun Gothic" w:hAnsi="Arial" w:cs="Times New Roman" w:hint="eastAsia"/>
          <w:color w:val="auto"/>
          <w:sz w:val="32"/>
          <w:szCs w:val="20"/>
        </w:rPr>
        <w:t>PDCP relocation</w:t>
      </w:r>
      <w:r>
        <w:rPr>
          <w:rFonts w:ascii="Arial" w:eastAsia="Malgun Gothic" w:hAnsi="Arial" w:cs="Times New Roman"/>
          <w:color w:val="auto"/>
          <w:sz w:val="32"/>
          <w:szCs w:val="20"/>
        </w:rPr>
        <w:t xml:space="preserve"> </w:t>
      </w:r>
    </w:p>
    <w:p w:rsidR="00B21E27" w:rsidRDefault="009C580B" w:rsidP="00D764C4">
      <w:pPr>
        <w:spacing w:before="120"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No matter in option 1 or option 2, one common issue for both of them is PDCP relocation. </w:t>
      </w:r>
      <w:r w:rsidR="008A7358" w:rsidRPr="008A7358">
        <w:rPr>
          <w:rFonts w:ascii="Arial" w:hAnsi="Arial"/>
        </w:rPr>
        <w:t xml:space="preserve">When UE moves from Position C to Position D, PDCP </w:t>
      </w:r>
      <w:r>
        <w:rPr>
          <w:rFonts w:ascii="Arial" w:hAnsi="Arial"/>
        </w:rPr>
        <w:t>is relocated</w:t>
      </w:r>
      <w:r w:rsidR="008A7358" w:rsidRPr="008A7358">
        <w:rPr>
          <w:rFonts w:ascii="Arial" w:hAnsi="Arial"/>
        </w:rPr>
        <w:t xml:space="preserve">, accompanied with path switch procedure towards CN. </w:t>
      </w:r>
      <w:r w:rsidR="008A7358">
        <w:rPr>
          <w:rFonts w:ascii="Arial" w:hAnsi="Arial"/>
        </w:rPr>
        <w:t xml:space="preserve"> So UE anchor is changed from source gNB to target gNB. </w:t>
      </w:r>
    </w:p>
    <w:p w:rsidR="00FC6E58" w:rsidRDefault="00FC6E58" w:rsidP="00FC6E58">
      <w:pPr>
        <w:spacing w:before="120" w:after="120"/>
        <w:jc w:val="both"/>
        <w:rPr>
          <w:rFonts w:ascii="Arial" w:hAnsi="Arial"/>
        </w:rPr>
      </w:pPr>
      <w:r w:rsidRPr="008E42EB">
        <w:rPr>
          <w:rFonts w:ascii="Arial" w:hAnsi="Arial"/>
        </w:rPr>
        <w:t xml:space="preserve">In </w:t>
      </w:r>
      <w:r w:rsidR="00F06953">
        <w:rPr>
          <w:rFonts w:ascii="Arial" w:hAnsi="Arial"/>
        </w:rPr>
        <w:t>order to support lossless</w:t>
      </w:r>
      <w:r w:rsidRPr="008E42EB">
        <w:rPr>
          <w:rFonts w:ascii="Arial" w:hAnsi="Arial"/>
        </w:rPr>
        <w:t xml:space="preserve"> handover, </w:t>
      </w:r>
      <w:r>
        <w:rPr>
          <w:rFonts w:ascii="Arial" w:hAnsi="Arial"/>
        </w:rPr>
        <w:t>PDCP SN continues during HO when PDCP is relocated. T</w:t>
      </w:r>
      <w:r w:rsidRPr="008E42EB">
        <w:rPr>
          <w:rFonts w:ascii="Arial" w:hAnsi="Arial"/>
        </w:rPr>
        <w:t xml:space="preserve">he SN Status Transfer procedure and data forwarding is sent following </w:t>
      </w:r>
      <w:r w:rsidRPr="00FB013A">
        <w:rPr>
          <w:rFonts w:ascii="Arial" w:hAnsi="Arial"/>
          <w:i/>
        </w:rPr>
        <w:t>RRC Connection Reconfiguration</w:t>
      </w:r>
      <w:r w:rsidRPr="008E42EB">
        <w:rPr>
          <w:rFonts w:ascii="Arial" w:hAnsi="Arial"/>
        </w:rPr>
        <w:t xml:space="preserve"> message.</w:t>
      </w:r>
      <w:r w:rsidRPr="008E42EB">
        <w:rPr>
          <w:rFonts w:ascii="Arial" w:hAnsi="Arial" w:hint="eastAsia"/>
        </w:rPr>
        <w:t xml:space="preserve"> </w:t>
      </w:r>
      <w:r w:rsidRPr="008E42EB">
        <w:rPr>
          <w:rFonts w:ascii="Arial" w:hAnsi="Arial"/>
        </w:rPr>
        <w:t xml:space="preserve">UE </w:t>
      </w:r>
      <w:r w:rsidRPr="008E42EB">
        <w:rPr>
          <w:rFonts w:ascii="Arial" w:hAnsi="Arial" w:hint="eastAsia"/>
        </w:rPr>
        <w:t xml:space="preserve">accessing to target cell and data forwarding </w:t>
      </w:r>
      <w:r w:rsidR="00C00C6B">
        <w:rPr>
          <w:rFonts w:ascii="Arial" w:hAnsi="Arial"/>
        </w:rPr>
        <w:t>can be</w:t>
      </w:r>
      <w:r w:rsidRPr="008E42EB">
        <w:rPr>
          <w:rFonts w:ascii="Arial" w:hAnsi="Arial" w:hint="eastAsia"/>
        </w:rPr>
        <w:t xml:space="preserve"> performed in </w:t>
      </w:r>
      <w:r w:rsidRPr="008E42EB">
        <w:rPr>
          <w:rFonts w:ascii="Arial" w:hAnsi="Arial"/>
        </w:rPr>
        <w:t>parallel</w:t>
      </w:r>
      <w:r w:rsidRPr="008E42EB">
        <w:rPr>
          <w:rFonts w:ascii="Arial" w:hAnsi="Arial" w:hint="eastAsia"/>
        </w:rPr>
        <w:t>.</w:t>
      </w:r>
      <w:r w:rsidRPr="008E42EB">
        <w:rPr>
          <w:rFonts w:ascii="Arial" w:hAnsi="Arial"/>
        </w:rPr>
        <w:t xml:space="preserve"> Generally, the SN STATUS TRANSFER message can only be generated after the source eNB stopping the data transmission.</w:t>
      </w:r>
      <w:r>
        <w:rPr>
          <w:rFonts w:ascii="Arial" w:hAnsi="Arial"/>
        </w:rPr>
        <w:t xml:space="preserve"> If simultaneous Tx/Rx operation with source gNB and target gNB is supported, h</w:t>
      </w:r>
      <w:r w:rsidRPr="00A92F46">
        <w:rPr>
          <w:rFonts w:ascii="Arial" w:hAnsi="Arial"/>
        </w:rPr>
        <w:t xml:space="preserve">ow to perform </w:t>
      </w:r>
      <w:r>
        <w:rPr>
          <w:rFonts w:ascii="Arial" w:hAnsi="Arial"/>
        </w:rPr>
        <w:t xml:space="preserve">SN status transfer and data forwarding at the source gNB, which simultaneously performs data transmission with UE, </w:t>
      </w:r>
      <w:r w:rsidRPr="00A92F46">
        <w:rPr>
          <w:rFonts w:ascii="Arial" w:hAnsi="Arial"/>
        </w:rPr>
        <w:t xml:space="preserve">should be considered. </w:t>
      </w:r>
    </w:p>
    <w:p w:rsidR="002B5FCF" w:rsidRDefault="007C12B3" w:rsidP="007C12B3">
      <w:pPr>
        <w:spacing w:before="120" w:after="120"/>
        <w:jc w:val="both"/>
        <w:rPr>
          <w:rFonts w:ascii="Arial" w:hAnsi="Arial"/>
        </w:rPr>
      </w:pPr>
      <w:r w:rsidRPr="00ED702E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963C841" wp14:editId="440628AD">
                <wp:simplePos x="0" y="0"/>
                <wp:positionH relativeFrom="column">
                  <wp:posOffset>2333350</wp:posOffset>
                </wp:positionH>
                <wp:positionV relativeFrom="paragraph">
                  <wp:posOffset>1151255</wp:posOffset>
                </wp:positionV>
                <wp:extent cx="1181100" cy="390525"/>
                <wp:effectExtent l="0" t="0" r="19050" b="285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PDCP relocation</w:t>
                            </w:r>
                          </w:p>
                          <w:p w:rsidR="002B5FCF" w:rsidRDefault="002B5FCF" w:rsidP="002B5FCF">
                            <w:pPr>
                              <w:spacing w:after="0"/>
                            </w:pPr>
                            <w:r>
                              <w:t>Path switch</w:t>
                            </w:r>
                          </w:p>
                          <w:p w:rsidR="002B5FCF" w:rsidRDefault="002B5FCF" w:rsidP="002B5FCF"/>
                          <w:p w:rsidR="002B5FCF" w:rsidRDefault="002B5FCF" w:rsidP="002B5FCF"/>
                          <w:p w:rsidR="002B5FCF" w:rsidRDefault="002B5FCF" w:rsidP="002B5FCF">
                            <w:r>
                              <w:t>pa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3C8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3.75pt;margin-top:90.65pt;width:93pt;height:30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">
                <v:textbox>
                  <w:txbxContent>
                    <w:p w:rsidR="002B5FCF" w:rsidRDefault="002B5FCF" w:rsidP="002B5FCF">
                      <w:pPr>
                        <w:spacing w:after="0"/>
                      </w:pPr>
                      <w:r>
                        <w:t>PDCP relocation</w:t>
                      </w:r>
                    </w:p>
                    <w:p w:rsidR="002B5FCF" w:rsidRDefault="002B5FCF" w:rsidP="002B5FCF">
                      <w:pPr>
                        <w:spacing w:after="0"/>
                      </w:pPr>
                      <w:r>
                        <w:t>Path switch</w:t>
                      </w:r>
                    </w:p>
                    <w:p w:rsidR="002B5FCF" w:rsidRDefault="002B5FCF" w:rsidP="002B5FCF"/>
                    <w:p w:rsidR="002B5FCF" w:rsidRDefault="002B5FCF" w:rsidP="002B5FCF"/>
                    <w:p w:rsidR="002B5FCF" w:rsidRDefault="002B5FCF" w:rsidP="002B5FCF">
                      <w:r>
                        <w:t>pa</w:t>
                      </w:r>
                    </w:p>
                  </w:txbxContent>
                </v:textbox>
              </v:shape>
            </w:pict>
          </mc:Fallback>
        </mc:AlternateContent>
      </w:r>
      <w:r w:rsidR="00FC6E58">
        <w:rPr>
          <w:rFonts w:ascii="Arial" w:hAnsi="Arial"/>
        </w:rPr>
        <w:t>In option 1 just illustrated in Figure 4, the source gNB may keep certain amount of PDCP SDUs at its own tentative buffer and forwards others to the target gNB.</w:t>
      </w:r>
      <w:r>
        <w:rPr>
          <w:rFonts w:ascii="Arial" w:hAnsi="Arial"/>
        </w:rPr>
        <w:t xml:space="preserve"> The source gNB</w:t>
      </w:r>
      <w:r w:rsidR="00FC6E58">
        <w:rPr>
          <w:rFonts w:ascii="Arial" w:hAnsi="Arial"/>
        </w:rPr>
        <w:t xml:space="preserve"> </w:t>
      </w:r>
      <w:r>
        <w:rPr>
          <w:rFonts w:ascii="Arial" w:hAnsi="Arial"/>
        </w:rPr>
        <w:t>needs to consider the PDCP SNs reserved for the buffered PDCP SDUs when sending</w:t>
      </w:r>
      <w:r w:rsidR="00FC6E58" w:rsidRPr="008E42EB">
        <w:rPr>
          <w:rFonts w:ascii="Arial" w:hAnsi="Arial"/>
        </w:rPr>
        <w:t xml:space="preserve"> SN Status Transfer </w:t>
      </w:r>
      <w:r>
        <w:rPr>
          <w:rFonts w:ascii="Arial" w:hAnsi="Arial"/>
        </w:rPr>
        <w:t>message to the target gNB</w:t>
      </w:r>
      <w:r w:rsidR="00FC6E58">
        <w:rPr>
          <w:rFonts w:ascii="Arial" w:hAnsi="Arial"/>
        </w:rPr>
        <w:t xml:space="preserve">. </w:t>
      </w:r>
      <w:r>
        <w:rPr>
          <w:rFonts w:ascii="Arial" w:hAnsi="Arial"/>
        </w:rPr>
        <w:t>Then</w:t>
      </w:r>
      <w:r w:rsidR="00D764C4">
        <w:rPr>
          <w:rFonts w:ascii="Arial" w:hAnsi="Arial"/>
        </w:rPr>
        <w:t xml:space="preserve"> UE can receive PDCP PDUs from two paths simultaneously. S</w:t>
      </w:r>
      <w:r w:rsidR="002B5FCF">
        <w:rPr>
          <w:rFonts w:ascii="Arial" w:hAnsi="Arial"/>
        </w:rPr>
        <w:t>ince UP protocol for the target gNB has already been established, UE anchor</w:t>
      </w:r>
      <w:r w:rsidR="00D764C4">
        <w:rPr>
          <w:rFonts w:ascii="Arial" w:hAnsi="Arial"/>
        </w:rPr>
        <w:t xml:space="preserve"> can be changed directly from source gNB to target gNB. UE can notice that the UP anchor has changed when source gNB is released. Source gNB is released </w:t>
      </w:r>
      <w:r w:rsidR="00D764C4" w:rsidRPr="00D764C4">
        <w:rPr>
          <w:rFonts w:ascii="Arial" w:hAnsi="Arial"/>
        </w:rPr>
        <w:t>either when the packets buffered at the source gNB has been completely delivered or the coverage of the source gNB is not available, whichever comes first.</w:t>
      </w:r>
    </w:p>
    <w:p w:rsidR="002B5FCF" w:rsidRDefault="008344D5" w:rsidP="00D764C4">
      <w:pPr>
        <w:jc w:val="center"/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D1EEDB" wp14:editId="10C4E5E8">
                <wp:simplePos x="0" y="0"/>
                <wp:positionH relativeFrom="column">
                  <wp:posOffset>2035175</wp:posOffset>
                </wp:positionH>
                <wp:positionV relativeFrom="paragraph">
                  <wp:posOffset>55880</wp:posOffset>
                </wp:positionV>
                <wp:extent cx="1821815" cy="342900"/>
                <wp:effectExtent l="0" t="19050" r="26035" b="19050"/>
                <wp:wrapNone/>
                <wp:docPr id="14" name="Freeform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1815" cy="342900"/>
                        </a:xfrm>
                        <a:custGeom>
                          <a:avLst/>
                          <a:gdLst>
                            <a:gd name="connsiteX0" fmla="*/ 12433 w 1822183"/>
                            <a:gd name="connsiteY0" fmla="*/ 342900 h 342900"/>
                            <a:gd name="connsiteX1" fmla="*/ 2908 w 1822183"/>
                            <a:gd name="connsiteY1" fmla="*/ 295275 h 342900"/>
                            <a:gd name="connsiteX2" fmla="*/ 79108 w 1822183"/>
                            <a:gd name="connsiteY2" fmla="*/ 247650 h 342900"/>
                            <a:gd name="connsiteX3" fmla="*/ 117208 w 1822183"/>
                            <a:gd name="connsiteY3" fmla="*/ 219075 h 342900"/>
                            <a:gd name="connsiteX4" fmla="*/ 174358 w 1822183"/>
                            <a:gd name="connsiteY4" fmla="*/ 200025 h 342900"/>
                            <a:gd name="connsiteX5" fmla="*/ 241033 w 1822183"/>
                            <a:gd name="connsiteY5" fmla="*/ 161925 h 342900"/>
                            <a:gd name="connsiteX6" fmla="*/ 279133 w 1822183"/>
                            <a:gd name="connsiteY6" fmla="*/ 142875 h 342900"/>
                            <a:gd name="connsiteX7" fmla="*/ 393433 w 1822183"/>
                            <a:gd name="connsiteY7" fmla="*/ 85725 h 342900"/>
                            <a:gd name="connsiteX8" fmla="*/ 450583 w 1822183"/>
                            <a:gd name="connsiteY8" fmla="*/ 66675 h 342900"/>
                            <a:gd name="connsiteX9" fmla="*/ 564883 w 1822183"/>
                            <a:gd name="connsiteY9" fmla="*/ 38100 h 342900"/>
                            <a:gd name="connsiteX10" fmla="*/ 745858 w 1822183"/>
                            <a:gd name="connsiteY10" fmla="*/ 9525 h 342900"/>
                            <a:gd name="connsiteX11" fmla="*/ 783958 w 1822183"/>
                            <a:gd name="connsiteY11" fmla="*/ 0 h 342900"/>
                            <a:gd name="connsiteX12" fmla="*/ 1031608 w 1822183"/>
                            <a:gd name="connsiteY12" fmla="*/ 9525 h 342900"/>
                            <a:gd name="connsiteX13" fmla="*/ 1088758 w 1822183"/>
                            <a:gd name="connsiteY13" fmla="*/ 19050 h 342900"/>
                            <a:gd name="connsiteX14" fmla="*/ 1174483 w 1822183"/>
                            <a:gd name="connsiteY14" fmla="*/ 28575 h 342900"/>
                            <a:gd name="connsiteX15" fmla="*/ 1231633 w 1822183"/>
                            <a:gd name="connsiteY15" fmla="*/ 38100 h 342900"/>
                            <a:gd name="connsiteX16" fmla="*/ 1260208 w 1822183"/>
                            <a:gd name="connsiteY16" fmla="*/ 47625 h 342900"/>
                            <a:gd name="connsiteX17" fmla="*/ 1298308 w 1822183"/>
                            <a:gd name="connsiteY17" fmla="*/ 57150 h 342900"/>
                            <a:gd name="connsiteX18" fmla="*/ 1326883 w 1822183"/>
                            <a:gd name="connsiteY18" fmla="*/ 66675 h 342900"/>
                            <a:gd name="connsiteX19" fmla="*/ 1441183 w 1822183"/>
                            <a:gd name="connsiteY19" fmla="*/ 85725 h 342900"/>
                            <a:gd name="connsiteX20" fmla="*/ 1507858 w 1822183"/>
                            <a:gd name="connsiteY20" fmla="*/ 114300 h 342900"/>
                            <a:gd name="connsiteX21" fmla="*/ 1622158 w 1822183"/>
                            <a:gd name="connsiteY21" fmla="*/ 142875 h 342900"/>
                            <a:gd name="connsiteX22" fmla="*/ 1650733 w 1822183"/>
                            <a:gd name="connsiteY22" fmla="*/ 152400 h 342900"/>
                            <a:gd name="connsiteX23" fmla="*/ 1717408 w 1822183"/>
                            <a:gd name="connsiteY23" fmla="*/ 190500 h 342900"/>
                            <a:gd name="connsiteX24" fmla="*/ 1745983 w 1822183"/>
                            <a:gd name="connsiteY24" fmla="*/ 200025 h 342900"/>
                            <a:gd name="connsiteX25" fmla="*/ 1803133 w 1822183"/>
                            <a:gd name="connsiteY25" fmla="*/ 238125 h 342900"/>
                            <a:gd name="connsiteX26" fmla="*/ 1822183 w 1822183"/>
                            <a:gd name="connsiteY26" fmla="*/ 24765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</a:cxnLst>
                          <a:rect l="l" t="t" r="r" b="b"/>
                          <a:pathLst>
                            <a:path w="1822183" h="342900">
                              <a:moveTo>
                                <a:pt x="12433" y="342900"/>
                              </a:moveTo>
                              <a:cubicBezTo>
                                <a:pt x="9258" y="327025"/>
                                <a:pt x="-6376" y="308538"/>
                                <a:pt x="2908" y="295275"/>
                              </a:cubicBezTo>
                              <a:cubicBezTo>
                                <a:pt x="20085" y="270737"/>
                                <a:pt x="55146" y="265622"/>
                                <a:pt x="79108" y="247650"/>
                              </a:cubicBezTo>
                              <a:cubicBezTo>
                                <a:pt x="91808" y="238125"/>
                                <a:pt x="103009" y="226175"/>
                                <a:pt x="117208" y="219075"/>
                              </a:cubicBezTo>
                              <a:cubicBezTo>
                                <a:pt x="135169" y="210095"/>
                                <a:pt x="156126" y="208440"/>
                                <a:pt x="174358" y="200025"/>
                              </a:cubicBezTo>
                              <a:cubicBezTo>
                                <a:pt x="197600" y="189298"/>
                                <a:pt x="218561" y="174182"/>
                                <a:pt x="241033" y="161925"/>
                              </a:cubicBezTo>
                              <a:cubicBezTo>
                                <a:pt x="253498" y="155126"/>
                                <a:pt x="266668" y="149674"/>
                                <a:pt x="279133" y="142875"/>
                              </a:cubicBezTo>
                              <a:cubicBezTo>
                                <a:pt x="350922" y="103717"/>
                                <a:pt x="328541" y="109322"/>
                                <a:pt x="393433" y="85725"/>
                              </a:cubicBezTo>
                              <a:cubicBezTo>
                                <a:pt x="412304" y="78863"/>
                                <a:pt x="431391" y="72580"/>
                                <a:pt x="450583" y="66675"/>
                              </a:cubicBezTo>
                              <a:cubicBezTo>
                                <a:pt x="496287" y="52612"/>
                                <a:pt x="520184" y="45550"/>
                                <a:pt x="564883" y="38100"/>
                              </a:cubicBezTo>
                              <a:cubicBezTo>
                                <a:pt x="710388" y="13849"/>
                                <a:pt x="539575" y="48203"/>
                                <a:pt x="745858" y="9525"/>
                              </a:cubicBezTo>
                              <a:cubicBezTo>
                                <a:pt x="758725" y="7113"/>
                                <a:pt x="771258" y="3175"/>
                                <a:pt x="783958" y="0"/>
                              </a:cubicBezTo>
                              <a:cubicBezTo>
                                <a:pt x="866508" y="3175"/>
                                <a:pt x="949158" y="4372"/>
                                <a:pt x="1031608" y="9525"/>
                              </a:cubicBezTo>
                              <a:cubicBezTo>
                                <a:pt x="1050883" y="10730"/>
                                <a:pt x="1069615" y="16498"/>
                                <a:pt x="1088758" y="19050"/>
                              </a:cubicBezTo>
                              <a:cubicBezTo>
                                <a:pt x="1117257" y="22850"/>
                                <a:pt x="1145984" y="24775"/>
                                <a:pt x="1174483" y="28575"/>
                              </a:cubicBezTo>
                              <a:cubicBezTo>
                                <a:pt x="1193626" y="31127"/>
                                <a:pt x="1212780" y="33910"/>
                                <a:pt x="1231633" y="38100"/>
                              </a:cubicBezTo>
                              <a:cubicBezTo>
                                <a:pt x="1241434" y="40278"/>
                                <a:pt x="1250554" y="44867"/>
                                <a:pt x="1260208" y="47625"/>
                              </a:cubicBezTo>
                              <a:cubicBezTo>
                                <a:pt x="1272795" y="51221"/>
                                <a:pt x="1285721" y="53554"/>
                                <a:pt x="1298308" y="57150"/>
                              </a:cubicBezTo>
                              <a:cubicBezTo>
                                <a:pt x="1307962" y="59908"/>
                                <a:pt x="1317038" y="64706"/>
                                <a:pt x="1326883" y="66675"/>
                              </a:cubicBezTo>
                              <a:cubicBezTo>
                                <a:pt x="1364758" y="74250"/>
                                <a:pt x="1403083" y="79375"/>
                                <a:pt x="1441183" y="85725"/>
                              </a:cubicBezTo>
                              <a:cubicBezTo>
                                <a:pt x="1464479" y="97373"/>
                                <a:pt x="1482631" y="108694"/>
                                <a:pt x="1507858" y="114300"/>
                              </a:cubicBezTo>
                              <a:cubicBezTo>
                                <a:pt x="1623294" y="139952"/>
                                <a:pt x="1506678" y="104382"/>
                                <a:pt x="1622158" y="142875"/>
                              </a:cubicBezTo>
                              <a:cubicBezTo>
                                <a:pt x="1631683" y="146050"/>
                                <a:pt x="1642379" y="146831"/>
                                <a:pt x="1650733" y="152400"/>
                              </a:cubicBezTo>
                              <a:cubicBezTo>
                                <a:pt x="1679431" y="171532"/>
                                <a:pt x="1683571" y="175998"/>
                                <a:pt x="1717408" y="190500"/>
                              </a:cubicBezTo>
                              <a:cubicBezTo>
                                <a:pt x="1726636" y="194455"/>
                                <a:pt x="1737206" y="195149"/>
                                <a:pt x="1745983" y="200025"/>
                              </a:cubicBezTo>
                              <a:cubicBezTo>
                                <a:pt x="1765997" y="211144"/>
                                <a:pt x="1782655" y="227886"/>
                                <a:pt x="1803133" y="238125"/>
                              </a:cubicBezTo>
                              <a:lnTo>
                                <a:pt x="1822183" y="247650"/>
                              </a:ln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9A8ED5" id="Freeform 14" o:spid="_x0000_s1026" style="position:absolute;margin-left:160.25pt;margin-top:4.4pt;width:143.45pt;height:2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822183,342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" path="m12433,342900c9258,327025,-6376,308538,2908,295275,20085,270737,55146,265622,79108,247650v12700,-9525,23901,-21475,38100,-28575c135169,210095,156126,208440,174358,200025v23242,-10727,44203,-25843,66675,-38100c253498,155126,266668,149674,279133,142875v71789,-39158,49408,-33553,114300,-57150c412304,78863,431391,72580,450583,66675,496287,52612,520184,45550,564883,38100,710388,13849,539575,48203,745858,9525,758725,7113,771258,3175,783958,v82550,3175,165200,4372,247650,9525c1050883,10730,1069615,16498,1088758,19050v28499,3800,57226,5725,85725,9525c1193626,31127,1212780,33910,1231633,38100v9801,2178,18921,6767,28575,9525c1272795,51221,1285721,53554,1298308,57150v9654,2758,18730,7556,28575,9525c1364758,74250,1403083,79375,1441183,85725v23296,11648,41448,22969,66675,28575c1623294,139952,1506678,104382,1622158,142875v9525,3175,20221,3956,28575,9525c1679431,171532,1683571,175998,1717408,190500v9228,3955,19798,4649,28575,9525c1765997,211144,1782655,227886,1803133,238125r19050,9525e" filled="f" strokecolor="#1f4d78 [1604]" strokeweight="1pt">
                <v:stroke joinstyle="miter"/>
                <v:path arrowok="t" o:connecttype="custom" o:connectlocs="12430,342900;2907,295275;79092,247650;117184,219075;174323,200025;240984,161925;279077,142875;393354,85725;450492,66675;564769,38100;745707,9525;783800,0;1031400,9525;1088538,19050;1174246,28575;1231384,38100;1259953,47625;1298046,57150;1326615,66675;1440892,85725;1507553,114300;1621830,142875;1650400,152400;1717061,190500;1745630,200025;1802769,238125;1821815,247650" o:connectangles="0,0,0,0,0,0,0,0,0,0,0,0,0,0,0,0,0,0,0,0,0,0,0,0,0,0,0"/>
              </v:shape>
            </w:pict>
          </mc:Fallback>
        </mc:AlternateContent>
      </w:r>
      <w:r w:rsidR="002B5FCF">
        <w:object w:dxaOrig="5160" w:dyaOrig="9240">
          <v:shape id="_x0000_i1034" type="#_x0000_t75" style="width:131.1pt;height:226.85pt" o:ole="">
            <v:imagedata r:id="rId23" o:title="" croptop="3082f"/>
          </v:shape>
          <o:OLEObject Type="Embed" ProgID="Visio.Drawing.15" ShapeID="_x0000_i1034" DrawAspect="Content" ObjectID="_1563978345" r:id="rId24"/>
        </w:object>
      </w:r>
      <w:r w:rsidR="002B5FCF" w:rsidRPr="00FC6B9F">
        <w:t xml:space="preserve"> </w:t>
      </w:r>
      <w:r w:rsidR="002B5FCF">
        <w:object w:dxaOrig="5160" w:dyaOrig="9225">
          <v:shape id="_x0000_i1035" type="#_x0000_t75" style="width:129.05pt;height:227.55pt" o:ole="">
            <v:imagedata r:id="rId25" o:title=""/>
          </v:shape>
          <o:OLEObject Type="Embed" ProgID="Visio.Drawing.15" ShapeID="_x0000_i1035" DrawAspect="Content" ObjectID="_1563978346" r:id="rId26"/>
        </w:object>
      </w:r>
    </w:p>
    <w:p w:rsidR="00D82146" w:rsidRDefault="002B5FCF" w:rsidP="00D82146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4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‘make-before-break’ (option 1)</w:t>
      </w:r>
    </w:p>
    <w:p w:rsidR="008344D5" w:rsidRDefault="00D82146" w:rsidP="00D82146">
      <w:pPr>
        <w:jc w:val="both"/>
        <w:rPr>
          <w:rFonts w:ascii="Arial" w:hAnsi="Arial"/>
        </w:rPr>
      </w:pPr>
      <w:r w:rsidRPr="00D82146">
        <w:rPr>
          <w:rFonts w:ascii="Arial" w:hAnsi="Arial"/>
        </w:rPr>
        <w:t>In option 2</w:t>
      </w:r>
      <w:r>
        <w:rPr>
          <w:rFonts w:ascii="Arial" w:hAnsi="Arial"/>
        </w:rPr>
        <w:t>, one baseline behaviour to perform PDCP relocation</w:t>
      </w:r>
      <w:r w:rsidR="008344D5">
        <w:rPr>
          <w:rFonts w:ascii="Arial" w:hAnsi="Arial"/>
        </w:rPr>
        <w:t xml:space="preserve"> through split bearer to MCG bearer change. Similar as current HO procedure, </w:t>
      </w:r>
      <w:r>
        <w:rPr>
          <w:rFonts w:ascii="Arial" w:hAnsi="Arial"/>
        </w:rPr>
        <w:t>UP protocol</w:t>
      </w:r>
      <w:r w:rsidR="008344D5">
        <w:rPr>
          <w:rFonts w:ascii="Arial" w:hAnsi="Arial"/>
        </w:rPr>
        <w:t xml:space="preserve"> is reset</w:t>
      </w:r>
      <w:r>
        <w:rPr>
          <w:rFonts w:ascii="Arial" w:hAnsi="Arial"/>
        </w:rPr>
        <w:t xml:space="preserve"> including PDCP re-establishment, RLC reestablishment and MAC reset, just as illustrated in Figure 5</w:t>
      </w:r>
      <w:r w:rsidR="004B18D4">
        <w:rPr>
          <w:rFonts w:ascii="Arial" w:hAnsi="Arial"/>
        </w:rPr>
        <w:t>.1</w:t>
      </w:r>
      <w:r>
        <w:rPr>
          <w:rFonts w:ascii="Arial" w:hAnsi="Arial"/>
        </w:rPr>
        <w:t xml:space="preserve">. </w:t>
      </w:r>
      <w:r w:rsidR="008344D5">
        <w:rPr>
          <w:rFonts w:ascii="Arial" w:hAnsi="Arial"/>
        </w:rPr>
        <w:t xml:space="preserve">Although the interruption due to UP protocol reset is several microseconds and negligible, 0ms interruption can’t be achieved with this baseline behaviour. </w:t>
      </w:r>
      <w:r w:rsidR="004B18D4">
        <w:rPr>
          <w:rFonts w:ascii="Arial" w:hAnsi="Arial"/>
        </w:rPr>
        <w:t xml:space="preserve">The </w:t>
      </w:r>
      <w:r w:rsidR="00C00C6B">
        <w:rPr>
          <w:rFonts w:ascii="Arial" w:hAnsi="Arial"/>
        </w:rPr>
        <w:t xml:space="preserve">security </w:t>
      </w:r>
      <w:r w:rsidR="004B18D4">
        <w:rPr>
          <w:rFonts w:ascii="Arial" w:hAnsi="Arial"/>
        </w:rPr>
        <w:t xml:space="preserve">key for target gNB can be </w:t>
      </w:r>
      <w:r w:rsidR="00C00C6B">
        <w:rPr>
          <w:rFonts w:ascii="Arial" w:hAnsi="Arial"/>
        </w:rPr>
        <w:t>used</w:t>
      </w:r>
      <w:r w:rsidR="004B18D4">
        <w:rPr>
          <w:rFonts w:ascii="Arial" w:hAnsi="Arial"/>
        </w:rPr>
        <w:t xml:space="preserve"> after UP reset. </w:t>
      </w:r>
    </w:p>
    <w:p w:rsidR="008344D5" w:rsidRDefault="008344D5" w:rsidP="00D82146">
      <w:pPr>
        <w:jc w:val="both"/>
        <w:rPr>
          <w:rFonts w:ascii="Arial" w:hAnsi="Arial"/>
        </w:rPr>
      </w:pPr>
      <w:r>
        <w:rPr>
          <w:rFonts w:ascii="Arial" w:hAnsi="Arial"/>
        </w:rPr>
        <w:t>In option 2, one potential optimized behaviour to perform PDCP relocation without UP proto</w:t>
      </w:r>
      <w:r w:rsidR="004B18D4">
        <w:rPr>
          <w:rFonts w:ascii="Arial" w:hAnsi="Arial"/>
        </w:rPr>
        <w:t>col stack reset at the UE side, just as illustrated in Figure 5.2. One problem with this solution is that UE doesn’t know when to apply the new</w:t>
      </w:r>
      <w:r w:rsidR="00C00C6B">
        <w:rPr>
          <w:rFonts w:ascii="Arial" w:hAnsi="Arial"/>
        </w:rPr>
        <w:t xml:space="preserve"> security</w:t>
      </w:r>
      <w:r w:rsidR="004B18D4">
        <w:rPr>
          <w:rFonts w:ascii="Arial" w:hAnsi="Arial"/>
        </w:rPr>
        <w:t xml:space="preserve"> key for </w:t>
      </w:r>
      <w:r w:rsidR="007C12B3">
        <w:rPr>
          <w:rFonts w:ascii="Arial" w:hAnsi="Arial"/>
        </w:rPr>
        <w:t xml:space="preserve">the </w:t>
      </w:r>
      <w:r w:rsidR="004B18D4">
        <w:rPr>
          <w:rFonts w:ascii="Arial" w:hAnsi="Arial"/>
        </w:rPr>
        <w:t xml:space="preserve">target gNB. </w:t>
      </w:r>
      <w:r w:rsidR="00AC3992">
        <w:rPr>
          <w:rFonts w:ascii="Arial" w:hAnsi="Arial"/>
        </w:rPr>
        <w:t xml:space="preserve">One potential solution is that a time </w:t>
      </w:r>
      <w:r w:rsidR="00C00C6B">
        <w:rPr>
          <w:rFonts w:ascii="Arial" w:hAnsi="Arial"/>
        </w:rPr>
        <w:t>duration or the number of PDCP P</w:t>
      </w:r>
      <w:r w:rsidR="00AC3992">
        <w:rPr>
          <w:rFonts w:ascii="Arial" w:hAnsi="Arial"/>
        </w:rPr>
        <w:t xml:space="preserve">DUs applying the old key corresponding to the source gNB is pre-defined or informed to UE. UE complexity to avoid UP protocol reset is concerned and needs further evaluation. </w:t>
      </w:r>
    </w:p>
    <w:p w:rsidR="004B18D4" w:rsidRPr="00027CA6" w:rsidRDefault="004B18D4" w:rsidP="004B18D4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lastRenderedPageBreak/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4B18D4" w:rsidRPr="00027CA6" w:rsidRDefault="004B18D4" w:rsidP="00027CA6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 w:rsidR="007C12B3"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4B18D4" w:rsidRPr="00027CA6" w:rsidRDefault="00AC3992" w:rsidP="00027CA6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</w:t>
      </w:r>
      <w:r w:rsidR="00027CA6" w:rsidRPr="00027CA6">
        <w:rPr>
          <w:rFonts w:ascii="Arial" w:hAnsi="Arial" w:cs="Arial"/>
          <w:b/>
          <w:sz w:val="20"/>
          <w:szCs w:val="20"/>
        </w:rPr>
        <w:t xml:space="preserve"> proto</w:t>
      </w:r>
      <w:r w:rsidR="00027CA6"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8344D5" w:rsidRDefault="004B18D4" w:rsidP="00D82146">
      <w:pPr>
        <w:jc w:val="both"/>
      </w:pPr>
      <w:r w:rsidRPr="00ED702E">
        <w:object w:dxaOrig="5175" w:dyaOrig="9270">
          <v:shape id="_x0000_i1036" type="#_x0000_t75" style="width:133.15pt;height:243.15pt" o:ole="">
            <v:imagedata r:id="rId20" o:title=""/>
          </v:shape>
          <o:OLEObject Type="Embed" ProgID="Visio.Drawing.15" ShapeID="_x0000_i1036" DrawAspect="Content" ObjectID="_1563978347" r:id="rId27"/>
        </w:object>
      </w:r>
      <w:r>
        <w:object w:dxaOrig="2355" w:dyaOrig="7980">
          <v:shape id="_x0000_i1037" type="#_x0000_t75" style="width:64.55pt;height:225.5pt" o:ole="">
            <v:imagedata r:id="rId15" o:title=""/>
          </v:shape>
          <o:OLEObject Type="Embed" ProgID="Visio.Drawing.15" ShapeID="_x0000_i1037" DrawAspect="Content" ObjectID="_1563978348" r:id="rId28"/>
        </w:object>
      </w:r>
      <w:r>
        <w:t xml:space="preserve">       </w:t>
      </w:r>
      <w:r w:rsidR="008344D5" w:rsidRPr="008B62A4">
        <w:object w:dxaOrig="5175" w:dyaOrig="9270">
          <v:shape id="_x0000_i1038" type="#_x0000_t75" style="width:125pt;height:217.35pt" o:ole="">
            <v:imagedata r:id="rId20" o:title=""/>
          </v:shape>
          <o:OLEObject Type="Embed" ProgID="Visio.Drawing.15" ShapeID="_x0000_i1038" DrawAspect="Content" ObjectID="_1563978349" r:id="rId29"/>
        </w:object>
      </w:r>
      <w:r w:rsidR="008344D5">
        <w:object w:dxaOrig="5175" w:dyaOrig="9721">
          <v:shape id="_x0000_i1039" type="#_x0000_t75" style="width:125pt;height:232.3pt" o:ole="">
            <v:imagedata r:id="rId30" o:title=""/>
          </v:shape>
          <o:OLEObject Type="Embed" ProgID="Visio.Drawing.15" ShapeID="_x0000_i1039" DrawAspect="Content" ObjectID="_1563978350" r:id="rId31"/>
        </w:object>
      </w:r>
    </w:p>
    <w:p w:rsidR="004B18D4" w:rsidRPr="00027CA6" w:rsidRDefault="004B18D4" w:rsidP="00D82146">
      <w:pPr>
        <w:jc w:val="both"/>
        <w:rPr>
          <w:b/>
        </w:rPr>
      </w:pPr>
      <w:r w:rsidRPr="00027CA6">
        <w:rPr>
          <w:b/>
        </w:rPr>
        <w:t xml:space="preserve">                          Figure 5.1 baseline behaviour                                 Figure 5.2 One potential optimization          </w:t>
      </w:r>
    </w:p>
    <w:p w:rsidR="004B18D4" w:rsidRDefault="004B18D4" w:rsidP="004B18D4">
      <w:pPr>
        <w:jc w:val="center"/>
        <w:rPr>
          <w:b/>
        </w:rPr>
      </w:pPr>
      <w:r w:rsidRPr="002B5FCF">
        <w:rPr>
          <w:b/>
        </w:rPr>
        <w:t>Figure</w:t>
      </w:r>
      <w:r>
        <w:rPr>
          <w:b/>
        </w:rPr>
        <w:t xml:space="preserve"> 5</w:t>
      </w:r>
      <w:r w:rsidRPr="002B5FCF">
        <w:rPr>
          <w:b/>
        </w:rPr>
        <w:t xml:space="preserve"> PDCP relocation in </w:t>
      </w:r>
      <w:r>
        <w:rPr>
          <w:b/>
        </w:rPr>
        <w:t>mobility enhancement for ‘DC’ (option 2)</w:t>
      </w:r>
    </w:p>
    <w:p w:rsidR="004B18D4" w:rsidRDefault="00027CA6" w:rsidP="003A2783">
      <w:pPr>
        <w:jc w:val="both"/>
        <w:rPr>
          <w:rFonts w:ascii="Arial" w:eastAsiaTheme="minorEastAsia" w:hAnsi="Arial"/>
          <w:lang w:eastAsia="zh-CN"/>
        </w:rPr>
      </w:pPr>
      <w:r>
        <w:rPr>
          <w:rFonts w:ascii="Arial" w:hAnsi="Arial"/>
        </w:rPr>
        <w:t xml:space="preserve">In essential, the reason why option 1 can achieve 0ms interruption without UP reset is that a UP protocol for the target gNB is prepared before PDCP relocation. So PDCP </w:t>
      </w:r>
      <w:r w:rsidR="00463347">
        <w:rPr>
          <w:rFonts w:ascii="Arial" w:hAnsi="Arial"/>
        </w:rPr>
        <w:t>can relocated directly</w:t>
      </w:r>
      <w:r>
        <w:rPr>
          <w:rFonts w:ascii="Arial" w:hAnsi="Arial"/>
        </w:rPr>
        <w:t xml:space="preserve"> using the prepared UP</w:t>
      </w:r>
      <w:r>
        <w:rPr>
          <w:rFonts w:ascii="Arial" w:eastAsiaTheme="minorEastAsia" w:hAnsi="Arial" w:hint="eastAsia"/>
          <w:lang w:eastAsia="zh-CN"/>
        </w:rPr>
        <w:t xml:space="preserve"> protocol for </w:t>
      </w:r>
      <w:r w:rsidR="00463347">
        <w:rPr>
          <w:rFonts w:ascii="Arial" w:eastAsiaTheme="minorEastAsia" w:hAnsi="Arial"/>
          <w:lang w:eastAsia="zh-CN"/>
        </w:rPr>
        <w:t xml:space="preserve">data </w:t>
      </w:r>
      <w:r>
        <w:rPr>
          <w:rFonts w:ascii="Arial" w:eastAsiaTheme="minorEastAsia" w:hAnsi="Arial" w:hint="eastAsia"/>
          <w:lang w:eastAsia="zh-CN"/>
        </w:rPr>
        <w:t>transmission</w:t>
      </w:r>
      <w:r w:rsidR="00463347">
        <w:rPr>
          <w:rFonts w:ascii="Arial" w:eastAsiaTheme="minorEastAsia" w:hAnsi="Arial"/>
          <w:lang w:eastAsia="zh-CN"/>
        </w:rPr>
        <w:t xml:space="preserve"> with the target gNB. Meanwhile, </w:t>
      </w:r>
      <w:r>
        <w:rPr>
          <w:rFonts w:ascii="Arial" w:eastAsiaTheme="minorEastAsia" w:hAnsi="Arial"/>
          <w:lang w:eastAsia="zh-CN"/>
        </w:rPr>
        <w:t xml:space="preserve">the original UP protocol stack </w:t>
      </w:r>
      <w:r w:rsidR="00463347">
        <w:rPr>
          <w:rFonts w:ascii="Arial" w:eastAsiaTheme="minorEastAsia" w:hAnsi="Arial"/>
          <w:lang w:eastAsia="zh-CN"/>
        </w:rPr>
        <w:t xml:space="preserve">can be maintained </w:t>
      </w:r>
      <w:r>
        <w:rPr>
          <w:rFonts w:ascii="Arial" w:eastAsiaTheme="minorEastAsia" w:hAnsi="Arial"/>
          <w:lang w:eastAsia="zh-CN"/>
        </w:rPr>
        <w:t xml:space="preserve">for </w:t>
      </w:r>
      <w:r w:rsidR="00463347">
        <w:rPr>
          <w:rFonts w:ascii="Arial" w:eastAsiaTheme="minorEastAsia" w:hAnsi="Arial"/>
          <w:lang w:eastAsia="zh-CN"/>
        </w:rPr>
        <w:t xml:space="preserve">data transmission with the source gNB.  This principle is also applicable </w:t>
      </w:r>
      <w:r w:rsidR="00257288">
        <w:rPr>
          <w:rFonts w:ascii="Arial" w:eastAsiaTheme="minorEastAsia" w:hAnsi="Arial"/>
          <w:lang w:eastAsia="zh-CN"/>
        </w:rPr>
        <w:t xml:space="preserve">for mobility enhancement in DC in option 2. </w:t>
      </w:r>
    </w:p>
    <w:p w:rsidR="00463347" w:rsidRDefault="00463347" w:rsidP="003A2783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463347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</w:t>
      </w:r>
      <w:r w:rsidR="007C12B3">
        <w:rPr>
          <w:rFonts w:ascii="Arial" w:hAnsi="Arial"/>
          <w:b/>
        </w:rPr>
        <w:t>A</w:t>
      </w:r>
      <w:r>
        <w:rPr>
          <w:rFonts w:ascii="Arial" w:hAnsi="Arial"/>
          <w:b/>
        </w:rPr>
        <w:t xml:space="preserve"> UP protocol for target gNB</w:t>
      </w:r>
      <w:r w:rsidR="007C12B3">
        <w:rPr>
          <w:rFonts w:ascii="Arial" w:hAnsi="Arial"/>
          <w:b/>
        </w:rPr>
        <w:t xml:space="preserve"> is prepared</w:t>
      </w:r>
      <w:r>
        <w:rPr>
          <w:rFonts w:ascii="Arial" w:hAnsi="Arial"/>
          <w:b/>
        </w:rPr>
        <w:t xml:space="preserve"> </w:t>
      </w:r>
      <w:r w:rsidR="003A2783">
        <w:rPr>
          <w:rFonts w:ascii="Arial" w:hAnsi="Arial"/>
          <w:b/>
        </w:rPr>
        <w:t>before</w:t>
      </w:r>
      <w:r>
        <w:rPr>
          <w:rFonts w:ascii="Arial" w:hAnsi="Arial"/>
          <w:b/>
        </w:rPr>
        <w:t xml:space="preserve"> PDCP relocation to achieve 0ms interruption HO. </w:t>
      </w:r>
    </w:p>
    <w:p w:rsidR="00A618EA" w:rsidRDefault="00463347" w:rsidP="003A2783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2:  </w:t>
      </w:r>
      <w:r w:rsidR="007C12B3">
        <w:rPr>
          <w:rFonts w:ascii="Arial" w:hAnsi="Arial"/>
          <w:b/>
        </w:rPr>
        <w:t>T</w:t>
      </w:r>
      <w:r>
        <w:rPr>
          <w:rFonts w:ascii="Arial" w:hAnsi="Arial"/>
          <w:b/>
        </w:rPr>
        <w:t>wo security keys</w:t>
      </w:r>
      <w:r w:rsidR="007C12B3">
        <w:rPr>
          <w:rFonts w:ascii="Arial" w:hAnsi="Arial"/>
          <w:b/>
        </w:rPr>
        <w:t xml:space="preserve"> are maintained during HO</w:t>
      </w:r>
      <w:r>
        <w:rPr>
          <w:rFonts w:ascii="Arial" w:hAnsi="Arial"/>
          <w:b/>
        </w:rPr>
        <w:t xml:space="preserve">, i.e. one for source gNB and the other for target gNB to achieve 0ms interruption. </w:t>
      </w:r>
      <w:r w:rsidR="00A618EA">
        <w:rPr>
          <w:rFonts w:ascii="Arial" w:hAnsi="Arial"/>
          <w:b/>
        </w:rPr>
        <w:br w:type="page"/>
      </w:r>
    </w:p>
    <w:p w:rsidR="00A618EA" w:rsidRDefault="00A618EA" w:rsidP="00A618EA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lastRenderedPageBreak/>
        <w:t>3 Conclusions</w:t>
      </w:r>
    </w:p>
    <w:p w:rsidR="00A618EA" w:rsidRDefault="00A618EA" w:rsidP="00A618EA">
      <w:pPr>
        <w:spacing w:before="120" w:after="120"/>
        <w:rPr>
          <w:rFonts w:ascii="Arial" w:hAnsi="Arial"/>
        </w:rPr>
      </w:pPr>
      <w:r w:rsidRPr="005827DF">
        <w:rPr>
          <w:rFonts w:ascii="Arial" w:hAnsi="Arial"/>
        </w:rPr>
        <w:t xml:space="preserve">In this contribution, we discuss </w:t>
      </w:r>
      <w:r>
        <w:rPr>
          <w:rFonts w:ascii="Arial" w:hAnsi="Arial"/>
        </w:rPr>
        <w:t xml:space="preserve">how to achieve 0ms mobility interruption. </w:t>
      </w:r>
    </w:p>
    <w:p w:rsidR="00A618EA" w:rsidRPr="005827DF" w:rsidRDefault="00A618EA" w:rsidP="00A618EA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Based on the observations:</w:t>
      </w:r>
    </w:p>
    <w:p w:rsidR="00C00C6B" w:rsidRPr="00364690" w:rsidRDefault="00C00C6B" w:rsidP="00C00C6B">
      <w:pPr>
        <w:jc w:val="both"/>
        <w:rPr>
          <w:rFonts w:ascii="Arial" w:hAnsi="Arial" w:cs="Arial"/>
          <w:b/>
        </w:rPr>
      </w:pPr>
      <w:r w:rsidRPr="00364690">
        <w:rPr>
          <w:rFonts w:ascii="Arial" w:hAnsi="Arial" w:cs="Arial"/>
          <w:b/>
        </w:rPr>
        <w:t xml:space="preserve">Observation 1: UP behaviour at position A and D are the same for option 1 and option 2, where UE only performs data transmission with one gNB, i.e. source gNB at position A and target B at position D.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hAnsi="Arial" w:cs="Arial"/>
          <w:b/>
        </w:rPr>
        <w:t>Observation 2</w:t>
      </w:r>
      <w:r w:rsidRPr="00364690">
        <w:rPr>
          <w:rFonts w:ascii="Arial" w:eastAsiaTheme="minorEastAsia" w:hAnsi="Arial" w:cs="Arial"/>
          <w:b/>
          <w:lang w:eastAsia="zh-CN"/>
        </w:rPr>
        <w:t xml:space="preserve">: At position B, UE establishes a full UP protocol stack for target gNB including PDCP layer in option 1; while in option 2, UE only establishes RLC and MAC layer for target gNB utilising split bearer. </w:t>
      </w:r>
    </w:p>
    <w:p w:rsidR="00C00C6B" w:rsidRPr="00364690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364690">
        <w:rPr>
          <w:rFonts w:ascii="Arial" w:eastAsiaTheme="minorEastAsia" w:hAnsi="Arial" w:cs="Arial"/>
          <w:b/>
          <w:lang w:eastAsia="zh-CN"/>
        </w:rPr>
        <w:t xml:space="preserve">Observation 3: At position C, different UP behaviours in option1 and option 2 are summarized as follows: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Data forwarding: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source gNB forwards PDCP SDUs to target gNB;</w:t>
      </w:r>
    </w:p>
    <w:p w:rsidR="00C00C6B" w:rsidRPr="00364690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>n option 2, source gNB forwards PDCP PDUs to target gNB;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Security: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364690">
        <w:rPr>
          <w:rFonts w:ascii="Arial" w:hAnsi="Arial" w:cs="Arial"/>
          <w:b/>
          <w:sz w:val="20"/>
          <w:szCs w:val="20"/>
        </w:rPr>
        <w:t>In option 1, two securities need to be maintained at the UE side, one for source gNB and the other for target gNB;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Pr="00364690">
        <w:rPr>
          <w:rFonts w:ascii="Arial" w:hAnsi="Arial" w:cs="Arial"/>
          <w:b/>
          <w:sz w:val="20"/>
          <w:szCs w:val="20"/>
        </w:rPr>
        <w:t xml:space="preserve">n option 2, one security key needs to be maintained. </w:t>
      </w:r>
    </w:p>
    <w:p w:rsidR="00C00C6B" w:rsidRDefault="00C00C6B" w:rsidP="00C00C6B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PDCP reordering: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In option 1, a tentative PDCP reordering function is used to reorder PDCP PDUs delivered from the PDCP entities in both source gNB and target gNB; </w:t>
      </w:r>
    </w:p>
    <w:p w:rsidR="00C00C6B" w:rsidRDefault="00C00C6B" w:rsidP="00C00C6B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In option 2, the PDCP reordering function in the PDCP entity corresponding to source gNB is used to reorder PDCP PDUs delivered from the</w:t>
      </w:r>
      <w:r>
        <w:rPr>
          <w:rFonts w:ascii="Arial" w:hAnsi="Arial" w:cs="Arial" w:hint="eastAsia"/>
          <w:b/>
          <w:sz w:val="20"/>
          <w:szCs w:val="20"/>
        </w:rPr>
        <w:t xml:space="preserve"> RLC entities from both </w:t>
      </w:r>
      <w:r>
        <w:rPr>
          <w:rFonts w:ascii="Arial" w:hAnsi="Arial" w:cs="Arial"/>
          <w:b/>
          <w:sz w:val="20"/>
          <w:szCs w:val="20"/>
        </w:rPr>
        <w:t xml:space="preserve">source gNB and target gNB. </w:t>
      </w:r>
    </w:p>
    <w:p w:rsidR="00C00C6B" w:rsidRPr="00027CA6" w:rsidRDefault="00C00C6B" w:rsidP="00C00C6B">
      <w:pPr>
        <w:jc w:val="both"/>
        <w:rPr>
          <w:rFonts w:ascii="Arial" w:eastAsiaTheme="minorEastAsia" w:hAnsi="Arial" w:cs="Arial"/>
          <w:b/>
          <w:lang w:eastAsia="zh-CN"/>
        </w:rPr>
      </w:pPr>
      <w:r w:rsidRPr="00027CA6">
        <w:rPr>
          <w:rFonts w:ascii="Arial" w:hAnsi="Arial"/>
          <w:b/>
        </w:rPr>
        <w:t xml:space="preserve">Observation 4: </w:t>
      </w:r>
      <w:r w:rsidRPr="00027CA6">
        <w:rPr>
          <w:rFonts w:ascii="Arial" w:eastAsiaTheme="minorEastAsia" w:hAnsi="Arial" w:cs="Arial"/>
          <w:b/>
          <w:lang w:eastAsia="zh-CN"/>
        </w:rPr>
        <w:t xml:space="preserve">At PDCP relocation, different UP behaviours in option1 and option 2 are summarized as follows: 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b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1</w:t>
      </w:r>
      <w:r>
        <w:rPr>
          <w:rFonts w:ascii="Arial" w:hAnsi="Arial" w:cs="Arial"/>
          <w:b/>
          <w:sz w:val="20"/>
          <w:szCs w:val="20"/>
        </w:rPr>
        <w:t xml:space="preserve"> doesn’t need UP protocol reset for </w:t>
      </w:r>
      <w:r w:rsidRPr="00027CA6">
        <w:rPr>
          <w:rFonts w:ascii="Arial" w:hAnsi="Arial" w:cs="Arial"/>
          <w:b/>
          <w:sz w:val="20"/>
          <w:szCs w:val="20"/>
        </w:rPr>
        <w:t>PDCP relocation at the network side;</w:t>
      </w:r>
    </w:p>
    <w:p w:rsidR="00C00C6B" w:rsidRPr="00027CA6" w:rsidRDefault="00C00C6B" w:rsidP="00C00C6B">
      <w:pPr>
        <w:pStyle w:val="ListParagraph"/>
        <w:numPr>
          <w:ilvl w:val="0"/>
          <w:numId w:val="4"/>
        </w:numPr>
        <w:jc w:val="both"/>
        <w:rPr>
          <w:rFonts w:ascii="Arial" w:hAnsi="Arial"/>
          <w:sz w:val="20"/>
          <w:szCs w:val="20"/>
        </w:rPr>
      </w:pPr>
      <w:r w:rsidRPr="00027CA6">
        <w:rPr>
          <w:rFonts w:ascii="Arial" w:hAnsi="Arial" w:cs="Arial"/>
          <w:b/>
          <w:sz w:val="20"/>
          <w:szCs w:val="20"/>
        </w:rPr>
        <w:t>Option 2 either needs UP protocol reset with very short interruption or avoids UP proto</w:t>
      </w:r>
      <w:r>
        <w:rPr>
          <w:rFonts w:ascii="Arial" w:hAnsi="Arial" w:cs="Arial"/>
          <w:b/>
          <w:sz w:val="20"/>
          <w:szCs w:val="20"/>
        </w:rPr>
        <w:t xml:space="preserve">col reset with more complexity, e.g. handling security issues. </w:t>
      </w:r>
    </w:p>
    <w:p w:rsidR="00C00C6B" w:rsidRDefault="00C00C6B" w:rsidP="00C00C6B">
      <w:pPr>
        <w:jc w:val="both"/>
        <w:rPr>
          <w:rFonts w:ascii="Arial" w:hAnsi="Arial"/>
          <w:b/>
        </w:rPr>
      </w:pPr>
      <w:r w:rsidRPr="00463347">
        <w:rPr>
          <w:rFonts w:ascii="Arial" w:hAnsi="Arial"/>
          <w:b/>
        </w:rPr>
        <w:t>Observation 5: Preparing a UP protocol for PDCP relocation can achieve 0ms interruption without UP protocol reset when PDCP is relocated from source gNB and target gNB.</w:t>
      </w:r>
    </w:p>
    <w:p w:rsidR="00A618EA" w:rsidRPr="00A618EA" w:rsidRDefault="00A618EA" w:rsidP="00A618EA">
      <w:pPr>
        <w:spacing w:before="120" w:after="120"/>
        <w:rPr>
          <w:rFonts w:ascii="Arial" w:hAnsi="Arial"/>
        </w:rPr>
      </w:pPr>
      <w:r w:rsidRPr="00A618EA">
        <w:rPr>
          <w:rFonts w:ascii="Arial" w:hAnsi="Arial"/>
        </w:rPr>
        <w:t>We propose:</w:t>
      </w:r>
    </w:p>
    <w:p w:rsidR="00C00C6B" w:rsidRDefault="00C00C6B" w:rsidP="00C00C6B">
      <w:pPr>
        <w:spacing w:before="120" w:after="12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Proposal 1: A UP protocol for target gNB is prepared before PDCP relocation to achieve 0ms interruption HO. </w:t>
      </w:r>
    </w:p>
    <w:p w:rsidR="00905DE0" w:rsidRPr="001829EF" w:rsidRDefault="00C00C6B" w:rsidP="00C00C6B">
      <w:pPr>
        <w:spacing w:before="120" w:after="120"/>
        <w:jc w:val="both"/>
      </w:pPr>
      <w:r>
        <w:rPr>
          <w:rFonts w:ascii="Arial" w:hAnsi="Arial"/>
          <w:b/>
        </w:rPr>
        <w:t>Proposal 2:  Two security keys are maintained during HO, i.e. one for source gNB and the other for target gNB to achieve 0ms interruption.</w:t>
      </w:r>
    </w:p>
    <w:sectPr w:rsidR="00905DE0" w:rsidRPr="00182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1A0" w:rsidRDefault="009121A0" w:rsidP="009C580B">
      <w:pPr>
        <w:spacing w:after="0"/>
      </w:pPr>
      <w:r>
        <w:separator/>
      </w:r>
    </w:p>
  </w:endnote>
  <w:endnote w:type="continuationSeparator" w:id="0">
    <w:p w:rsidR="009121A0" w:rsidRDefault="009121A0" w:rsidP="009C58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1A0" w:rsidRDefault="009121A0" w:rsidP="009C580B">
      <w:pPr>
        <w:spacing w:after="0"/>
      </w:pPr>
      <w:r>
        <w:separator/>
      </w:r>
    </w:p>
  </w:footnote>
  <w:footnote w:type="continuationSeparator" w:id="0">
    <w:p w:rsidR="009121A0" w:rsidRDefault="009121A0" w:rsidP="009C58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F87EE0"/>
    <w:multiLevelType w:val="hybridMultilevel"/>
    <w:tmpl w:val="47D88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DB5277"/>
    <w:multiLevelType w:val="hybridMultilevel"/>
    <w:tmpl w:val="E8E05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6440BB"/>
    <w:multiLevelType w:val="hybridMultilevel"/>
    <w:tmpl w:val="F74E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1B50C1"/>
    <w:multiLevelType w:val="hybridMultilevel"/>
    <w:tmpl w:val="8F24C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D73"/>
    <w:rsid w:val="00017CF1"/>
    <w:rsid w:val="00021D92"/>
    <w:rsid w:val="00027CA6"/>
    <w:rsid w:val="000724E6"/>
    <w:rsid w:val="00090B88"/>
    <w:rsid w:val="00092083"/>
    <w:rsid w:val="000A2B09"/>
    <w:rsid w:val="000A5772"/>
    <w:rsid w:val="000B6AA3"/>
    <w:rsid w:val="000E297C"/>
    <w:rsid w:val="000F29F4"/>
    <w:rsid w:val="00177AF7"/>
    <w:rsid w:val="001829EF"/>
    <w:rsid w:val="00202C45"/>
    <w:rsid w:val="00257288"/>
    <w:rsid w:val="00281ABF"/>
    <w:rsid w:val="00287222"/>
    <w:rsid w:val="002B5FCF"/>
    <w:rsid w:val="002C3804"/>
    <w:rsid w:val="002E6900"/>
    <w:rsid w:val="00315978"/>
    <w:rsid w:val="00322F9D"/>
    <w:rsid w:val="00364690"/>
    <w:rsid w:val="00375B0B"/>
    <w:rsid w:val="003A2783"/>
    <w:rsid w:val="003C4AB7"/>
    <w:rsid w:val="00463347"/>
    <w:rsid w:val="004B18D4"/>
    <w:rsid w:val="00552EB6"/>
    <w:rsid w:val="005719FD"/>
    <w:rsid w:val="0059141F"/>
    <w:rsid w:val="006232B6"/>
    <w:rsid w:val="0065064C"/>
    <w:rsid w:val="007129AC"/>
    <w:rsid w:val="007B647A"/>
    <w:rsid w:val="007C12B3"/>
    <w:rsid w:val="008344D5"/>
    <w:rsid w:val="008671D4"/>
    <w:rsid w:val="008A7358"/>
    <w:rsid w:val="008D5D73"/>
    <w:rsid w:val="00905DE0"/>
    <w:rsid w:val="009121A0"/>
    <w:rsid w:val="009C580B"/>
    <w:rsid w:val="00A132E6"/>
    <w:rsid w:val="00A37C22"/>
    <w:rsid w:val="00A571BA"/>
    <w:rsid w:val="00A618EA"/>
    <w:rsid w:val="00AC3992"/>
    <w:rsid w:val="00AD39B8"/>
    <w:rsid w:val="00AE7627"/>
    <w:rsid w:val="00AF0EE0"/>
    <w:rsid w:val="00B21E27"/>
    <w:rsid w:val="00BB6760"/>
    <w:rsid w:val="00C00C6B"/>
    <w:rsid w:val="00C364CE"/>
    <w:rsid w:val="00D30B70"/>
    <w:rsid w:val="00D33672"/>
    <w:rsid w:val="00D47138"/>
    <w:rsid w:val="00D5298B"/>
    <w:rsid w:val="00D56B1C"/>
    <w:rsid w:val="00D57711"/>
    <w:rsid w:val="00D764C4"/>
    <w:rsid w:val="00D82146"/>
    <w:rsid w:val="00D82826"/>
    <w:rsid w:val="00D934A4"/>
    <w:rsid w:val="00DC7CF9"/>
    <w:rsid w:val="00E906B6"/>
    <w:rsid w:val="00EA0AED"/>
    <w:rsid w:val="00F06953"/>
    <w:rsid w:val="00F113A0"/>
    <w:rsid w:val="00F375AE"/>
    <w:rsid w:val="00F91BE2"/>
    <w:rsid w:val="00FA1EB9"/>
    <w:rsid w:val="00FC6E58"/>
    <w:rsid w:val="00FD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4269252-ED73-40FC-B0FE-EAF68DB56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D73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rsid w:val="008D5D7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905DE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D5D7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D5D73"/>
    <w:rPr>
      <w:rFonts w:ascii="Arial" w:eastAsia="Malgun Gothic" w:hAnsi="Arial" w:cs="Times New Roman"/>
      <w:sz w:val="36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D5D73"/>
    <w:pPr>
      <w:tabs>
        <w:tab w:val="left" w:pos="1622"/>
      </w:tabs>
      <w:spacing w:after="0"/>
      <w:ind w:left="1622" w:hanging="363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8D5D73"/>
    <w:rPr>
      <w:rFonts w:ascii="Arial" w:eastAsia="MS Mincho" w:hAnsi="Arial" w:cs="Times New Roman"/>
      <w:sz w:val="20"/>
      <w:szCs w:val="24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1829EF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829E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905DE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Paragraph">
    <w:name w:val="List Paragraph"/>
    <w:basedOn w:val="Normal"/>
    <w:uiPriority w:val="34"/>
    <w:qFormat/>
    <w:rsid w:val="00E906B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table" w:styleId="TableGrid">
    <w:name w:val="Table Grid"/>
    <w:basedOn w:val="TableNormal"/>
    <w:uiPriority w:val="39"/>
    <w:rsid w:val="00315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C580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C580B"/>
    <w:rPr>
      <w:rFonts w:ascii="Times New Roman" w:eastAsia="MS Mincho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image" Target="media/image4.emf"/><Relationship Id="rId18" Type="http://schemas.openxmlformats.org/officeDocument/2006/relationships/image" Target="media/image6.emf"/><Relationship Id="rId26" Type="http://schemas.openxmlformats.org/officeDocument/2006/relationships/package" Target="embeddings/Microsoft_Visio_Drawing11.vsdx"/><Relationship Id="rId3" Type="http://schemas.openxmlformats.org/officeDocument/2006/relationships/settings" Target="settings.xml"/><Relationship Id="rId21" Type="http://schemas.openxmlformats.org/officeDocument/2006/relationships/package" Target="embeddings/Microsoft_Visio_Drawing8.vsdx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3.vsdx"/><Relationship Id="rId17" Type="http://schemas.openxmlformats.org/officeDocument/2006/relationships/package" Target="embeddings/Microsoft_Visio_Drawing6.vsdx"/><Relationship Id="rId25" Type="http://schemas.openxmlformats.org/officeDocument/2006/relationships/image" Target="media/image9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package" Target="embeddings/Microsoft_Visio_Drawing5.vsdx"/><Relationship Id="rId20" Type="http://schemas.openxmlformats.org/officeDocument/2006/relationships/image" Target="media/image7.emf"/><Relationship Id="rId29" Type="http://schemas.openxmlformats.org/officeDocument/2006/relationships/package" Target="embeddings/Microsoft_Visio_Drawing14.vsdx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package" Target="embeddings/Microsoft_Visio_Drawing10.vsdx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8.emf"/><Relationship Id="rId28" Type="http://schemas.openxmlformats.org/officeDocument/2006/relationships/package" Target="embeddings/Microsoft_Visio_Drawing13.vsdx"/><Relationship Id="rId10" Type="http://schemas.openxmlformats.org/officeDocument/2006/relationships/package" Target="embeddings/Microsoft_Visio_Drawing2.vsdx"/><Relationship Id="rId19" Type="http://schemas.openxmlformats.org/officeDocument/2006/relationships/package" Target="embeddings/Microsoft_Visio_Drawing7.vsdx"/><Relationship Id="rId31" Type="http://schemas.openxmlformats.org/officeDocument/2006/relationships/package" Target="embeddings/Microsoft_Visio_Drawing15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4.vsdx"/><Relationship Id="rId22" Type="http://schemas.openxmlformats.org/officeDocument/2006/relationships/package" Target="embeddings/Microsoft_Visio_Drawing9.vsdx"/><Relationship Id="rId27" Type="http://schemas.openxmlformats.org/officeDocument/2006/relationships/package" Target="embeddings/Microsoft_Visio_Drawing12.vsdx"/><Relationship Id="rId30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3</cp:revision>
  <dcterms:created xsi:type="dcterms:W3CDTF">2017-08-11T03:48:00Z</dcterms:created>
  <dcterms:modified xsi:type="dcterms:W3CDTF">2017-08-11T09:39:00Z</dcterms:modified>
</cp:coreProperties>
</file>